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783C" w14:textId="77777777" w:rsidR="00685DC5" w:rsidRDefault="00685DC5" w:rsidP="00685DC5">
      <w:pPr>
        <w:tabs>
          <w:tab w:val="left" w:pos="-1134"/>
          <w:tab w:val="left" w:pos="-564"/>
          <w:tab w:val="left" w:pos="1"/>
          <w:tab w:val="left" w:pos="564"/>
          <w:tab w:val="left" w:pos="1128"/>
          <w:tab w:val="left" w:pos="1698"/>
          <w:tab w:val="left" w:pos="2262"/>
          <w:tab w:val="left" w:pos="2826"/>
          <w:tab w:val="left" w:pos="3960"/>
          <w:tab w:val="left" w:pos="4530"/>
          <w:tab w:val="left" w:pos="5094"/>
          <w:tab w:val="left" w:pos="5658"/>
          <w:tab w:val="left" w:pos="6228"/>
          <w:tab w:val="left" w:pos="6792"/>
          <w:tab w:val="left" w:pos="7362"/>
          <w:tab w:val="left" w:pos="7926"/>
          <w:tab w:val="left" w:pos="8490"/>
          <w:tab w:val="left" w:pos="9060"/>
          <w:tab w:val="left" w:pos="9624"/>
          <w:tab w:val="left" w:pos="10194"/>
          <w:tab w:val="left" w:pos="10758"/>
          <w:tab w:val="left" w:pos="11322"/>
          <w:tab w:val="left" w:pos="11892"/>
          <w:tab w:val="left" w:pos="12456"/>
          <w:tab w:val="left" w:pos="13026"/>
          <w:tab w:val="left" w:pos="13590"/>
          <w:tab w:val="left" w:pos="14154"/>
          <w:tab w:val="left" w:pos="14724"/>
          <w:tab w:val="left" w:pos="15288"/>
          <w:tab w:val="left" w:pos="15858"/>
          <w:tab w:val="left" w:pos="16422"/>
          <w:tab w:val="left" w:pos="16986"/>
          <w:tab w:val="left" w:pos="17556"/>
          <w:tab w:val="left" w:pos="18120"/>
          <w:tab w:val="left" w:pos="18690"/>
          <w:tab w:val="left" w:pos="19254"/>
          <w:tab w:val="left" w:pos="19818"/>
          <w:tab w:val="left" w:pos="20388"/>
          <w:tab w:val="left" w:pos="20952"/>
        </w:tabs>
        <w:jc w:val="center"/>
      </w:pPr>
      <w:r>
        <w:rPr>
          <w:noProof/>
        </w:rPr>
        <w:drawing>
          <wp:inline distT="0" distB="0" distL="0" distR="0" wp14:anchorId="07350E36" wp14:editId="196ED495">
            <wp:extent cx="828675" cy="933450"/>
            <wp:effectExtent l="0" t="0" r="0" b="0"/>
            <wp:docPr id="593022538" name="Immagin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22538" name="Immagine 3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35FE8" w14:textId="77777777" w:rsidR="00685DC5" w:rsidRPr="00725665" w:rsidRDefault="00685DC5" w:rsidP="00685DC5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color w:val="222222"/>
          <w:sz w:val="120"/>
          <w:szCs w:val="120"/>
        </w:rPr>
      </w:pPr>
      <w:r w:rsidRPr="00725665">
        <w:rPr>
          <w:rFonts w:ascii="Palace Script MT" w:hAnsi="Palace Script MT" w:cs="Arial"/>
          <w:color w:val="222222"/>
          <w:spacing w:val="30"/>
          <w:sz w:val="120"/>
          <w:szCs w:val="120"/>
        </w:rPr>
        <w:t>Ministero della Giustizia</w:t>
      </w:r>
    </w:p>
    <w:p w14:paraId="0E353013" w14:textId="77777777" w:rsidR="0010490D" w:rsidRDefault="0010490D" w:rsidP="07EEF245">
      <w:pPr>
        <w:widowControl/>
        <w:jc w:val="center"/>
        <w:rPr>
          <w:rStyle w:val="normaltextrun"/>
          <w:rFonts w:ascii="Palace Script MT" w:hAnsi="Palace Script MT"/>
          <w:color w:val="222222"/>
          <w:sz w:val="43"/>
          <w:szCs w:val="43"/>
          <w:shd w:val="clear" w:color="auto" w:fill="FFFFFF"/>
        </w:rPr>
      </w:pPr>
      <w:r>
        <w:rPr>
          <w:rStyle w:val="normaltextrun"/>
          <w:rFonts w:ascii="Palace Script MT" w:hAnsi="Palace Script MT"/>
          <w:color w:val="222222"/>
          <w:sz w:val="43"/>
          <w:szCs w:val="43"/>
          <w:shd w:val="clear" w:color="auto" w:fill="FFFFFF"/>
        </w:rPr>
        <w:t>Dipartimento per l’innovazione tecnologica della giustizia</w:t>
      </w:r>
    </w:p>
    <w:p w14:paraId="35CB945A" w14:textId="1BC275FD" w:rsidR="1B57C559" w:rsidRPr="00DC0576" w:rsidRDefault="1B57C559" w:rsidP="07EEF245">
      <w:pPr>
        <w:widowControl/>
        <w:jc w:val="center"/>
        <w:rPr>
          <w:rFonts w:ascii="Palace Script MT" w:eastAsia="Palace Script MT" w:hAnsi="Palace Script MT" w:cs="Palace Script MT"/>
          <w:color w:val="222222"/>
          <w:sz w:val="43"/>
          <w:szCs w:val="43"/>
        </w:rPr>
      </w:pPr>
      <w:r w:rsidRPr="00DC0576"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  <w:t>Direzione generale per i Sistemi Informativi Automatizzati </w:t>
      </w:r>
    </w:p>
    <w:p w14:paraId="0FDFF656" w14:textId="53DB7B4B" w:rsidR="07EEF245" w:rsidRDefault="07EEF245" w:rsidP="07EEF245">
      <w:pPr>
        <w:pStyle w:val="Normal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</w:p>
    <w:p w14:paraId="0AD7D1F4" w14:textId="149E3CBC" w:rsidR="00454C0E" w:rsidRDefault="00454C0E" w:rsidP="00005EC9"/>
    <w:p w14:paraId="158CA987" w14:textId="5050607B" w:rsidR="00454C0E" w:rsidRDefault="00454C0E" w:rsidP="00005EC9"/>
    <w:p w14:paraId="3692309E" w14:textId="6C950F11" w:rsidR="00454C0E" w:rsidRDefault="00454C0E" w:rsidP="00005EC9"/>
    <w:p w14:paraId="2D6FE2E8" w14:textId="3860AF21" w:rsidR="007F1F7F" w:rsidRDefault="007F1F7F" w:rsidP="00005EC9"/>
    <w:p w14:paraId="702B5E73" w14:textId="4AD35D55" w:rsidR="007F1F7F" w:rsidRDefault="007F1F7F" w:rsidP="00005EC9"/>
    <w:p w14:paraId="29B073F3" w14:textId="715D0498" w:rsidR="007F1F7F" w:rsidRDefault="007F1F7F" w:rsidP="00005EC9"/>
    <w:p w14:paraId="18863AD3" w14:textId="708B7103" w:rsidR="007F1F7F" w:rsidRDefault="007F1F7F" w:rsidP="00005EC9"/>
    <w:p w14:paraId="307B816B" w14:textId="77777777" w:rsidR="007F1F7F" w:rsidRDefault="007F1F7F" w:rsidP="00005EC9"/>
    <w:p w14:paraId="2B9029F3" w14:textId="77777777" w:rsidR="00454C0E" w:rsidRDefault="00454C0E" w:rsidP="00005EC9">
      <w:pPr>
        <w:rPr>
          <w:color w:val="000000" w:themeColor="text1"/>
          <w:sz w:val="36"/>
          <w:szCs w:val="36"/>
        </w:rPr>
      </w:pPr>
    </w:p>
    <w:p w14:paraId="17CCE957" w14:textId="2D588B09" w:rsidR="00F53DF0" w:rsidRPr="00005EC9" w:rsidRDefault="00953C2B" w:rsidP="00005EC9">
      <w:pPr>
        <w:jc w:val="center"/>
        <w:rPr>
          <w:b/>
          <w:bCs/>
          <w:color w:val="000000" w:themeColor="text1"/>
          <w:sz w:val="36"/>
          <w:szCs w:val="36"/>
        </w:rPr>
      </w:pPr>
      <w:r w:rsidRPr="00005EC9">
        <w:rPr>
          <w:b/>
          <w:bCs/>
          <w:color w:val="000000" w:themeColor="text1"/>
          <w:sz w:val="36"/>
          <w:szCs w:val="36"/>
        </w:rPr>
        <w:t>PIANO DI MONITORAGGIO</w:t>
      </w:r>
      <w:r w:rsidR="000C006E">
        <w:rPr>
          <w:b/>
          <w:bCs/>
          <w:color w:val="000000" w:themeColor="text1"/>
          <w:sz w:val="36"/>
          <w:szCs w:val="36"/>
        </w:rPr>
        <w:br/>
        <w:t>CONTRATTO</w:t>
      </w:r>
    </w:p>
    <w:p w14:paraId="3A7A9CA9" w14:textId="77777777" w:rsidR="00F168F4" w:rsidRDefault="00F168F4" w:rsidP="00F168F4">
      <w:pPr>
        <w:rPr>
          <w:color w:val="000000" w:themeColor="text1"/>
          <w:sz w:val="36"/>
          <w:szCs w:val="36"/>
        </w:rPr>
      </w:pPr>
    </w:p>
    <w:p w14:paraId="662797FE" w14:textId="77777777" w:rsidR="00531F11" w:rsidRDefault="00531F11" w:rsidP="00531F11">
      <w:pPr>
        <w:jc w:val="center"/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</w:pPr>
      <w:r w:rsidRPr="000F1C76"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  <w:t>ACCORDO QUADRO AI SENSI DELL’ART. 54 COMMA 3 DEL D. LGS. N. 50/2016, PER LA FORNITURA DI PRODOTTI PER LA SICUREZZA PERIMETRALE, PROTEZIONE DEGLI ENDPOINT E ANTI-APT ED EROGAZIONE DI SERVIZI CONNESSI PER LE PUBBLICHE AMMINISTRAZIONI – CIG: 990255246C</w:t>
      </w:r>
    </w:p>
    <w:p w14:paraId="04AAC8F9" w14:textId="4839A2CE" w:rsidR="00044919" w:rsidRPr="00E16405" w:rsidRDefault="00F53DF0">
      <w:pPr>
        <w:rPr>
          <w:color w:val="000000" w:themeColor="text1"/>
        </w:rPr>
      </w:pPr>
      <w:r w:rsidRPr="00F168F4">
        <w:rPr>
          <w:sz w:val="36"/>
          <w:szCs w:val="36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C565DC" w:rsidRDefault="00044919">
          <w:pPr>
            <w:pStyle w:val="TOCHeading"/>
            <w:rPr>
              <w:rFonts w:ascii="Times New Roman" w:hAnsi="Times New Roman" w:cs="Times New Roman"/>
              <w:b/>
              <w:bCs/>
              <w:color w:val="auto"/>
              <w:lang w:val="it-IT"/>
            </w:rPr>
          </w:pPr>
          <w:r w:rsidRPr="00C565DC">
            <w:rPr>
              <w:rFonts w:ascii="Times New Roman" w:hAnsi="Times New Roman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5906E3" w:rsidRDefault="00044919" w:rsidP="00044919">
          <w:pPr>
            <w:rPr>
              <w:sz w:val="24"/>
              <w:szCs w:val="24"/>
            </w:rPr>
          </w:pPr>
        </w:p>
        <w:p w14:paraId="4F1E1CCB" w14:textId="36D1F6BA" w:rsidR="00FF017F" w:rsidRDefault="0004491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F041B2">
            <w:rPr>
              <w:sz w:val="24"/>
              <w:szCs w:val="24"/>
            </w:rPr>
            <w:fldChar w:fldCharType="begin"/>
          </w:r>
          <w:r w:rsidRPr="00F041B2">
            <w:rPr>
              <w:sz w:val="24"/>
              <w:szCs w:val="24"/>
            </w:rPr>
            <w:instrText xml:space="preserve"> TOC \o "1-3" \h \z \u </w:instrText>
          </w:r>
          <w:r w:rsidRPr="00F041B2">
            <w:rPr>
              <w:sz w:val="24"/>
              <w:szCs w:val="24"/>
            </w:rPr>
            <w:fldChar w:fldCharType="separate"/>
          </w:r>
          <w:hyperlink w:anchor="_Toc177486715" w:history="1">
            <w:r w:rsidR="00FF017F" w:rsidRPr="008553F7">
              <w:rPr>
                <w:rStyle w:val="Hyperlink"/>
                <w:rFonts w:eastAsiaTheme="majorEastAsia"/>
                <w:noProof/>
              </w:rPr>
              <w:t>1</w:t>
            </w:r>
            <w:r w:rsidR="00FF017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017F" w:rsidRPr="008553F7">
              <w:rPr>
                <w:rStyle w:val="Hyperlink"/>
                <w:rFonts w:eastAsiaTheme="majorEastAsia"/>
                <w:noProof/>
              </w:rPr>
              <w:t>DATI</w:t>
            </w:r>
            <w:r w:rsidR="00FF017F" w:rsidRPr="008553F7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017F" w:rsidRPr="008553F7">
              <w:rPr>
                <w:rStyle w:val="Hyperlink"/>
                <w:rFonts w:eastAsiaTheme="majorEastAsia"/>
                <w:noProof/>
              </w:rPr>
              <w:t>IDENTIFICATIVI</w:t>
            </w:r>
            <w:r w:rsidR="00FF017F" w:rsidRPr="008553F7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FF017F" w:rsidRPr="008553F7">
              <w:rPr>
                <w:rStyle w:val="Hyperlink"/>
                <w:rFonts w:eastAsiaTheme="majorEastAsia"/>
                <w:noProof/>
              </w:rPr>
              <w:t>DEL</w:t>
            </w:r>
            <w:r w:rsidR="00FF017F" w:rsidRPr="008553F7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017F" w:rsidRPr="008553F7">
              <w:rPr>
                <w:rStyle w:val="Hyperlink"/>
                <w:rFonts w:eastAsiaTheme="majorEastAsia"/>
                <w:noProof/>
              </w:rPr>
              <w:t>CONTRATTO</w:t>
            </w:r>
            <w:r w:rsidR="00FF017F">
              <w:rPr>
                <w:noProof/>
                <w:webHidden/>
              </w:rPr>
              <w:tab/>
            </w:r>
            <w:r w:rsidR="00FF017F">
              <w:rPr>
                <w:noProof/>
                <w:webHidden/>
              </w:rPr>
              <w:fldChar w:fldCharType="begin"/>
            </w:r>
            <w:r w:rsidR="00FF017F">
              <w:rPr>
                <w:noProof/>
                <w:webHidden/>
              </w:rPr>
              <w:instrText xml:space="preserve"> PAGEREF _Toc177486715 \h </w:instrText>
            </w:r>
            <w:r w:rsidR="00FF017F">
              <w:rPr>
                <w:noProof/>
                <w:webHidden/>
              </w:rPr>
            </w:r>
            <w:r w:rsidR="00FF017F">
              <w:rPr>
                <w:noProof/>
                <w:webHidden/>
              </w:rPr>
              <w:fldChar w:fldCharType="separate"/>
            </w:r>
            <w:r w:rsidR="00FF017F">
              <w:rPr>
                <w:noProof/>
                <w:webHidden/>
              </w:rPr>
              <w:t>3</w:t>
            </w:r>
            <w:r w:rsidR="00FF017F">
              <w:rPr>
                <w:noProof/>
                <w:webHidden/>
              </w:rPr>
              <w:fldChar w:fldCharType="end"/>
            </w:r>
          </w:hyperlink>
        </w:p>
        <w:p w14:paraId="51437D59" w14:textId="63468981" w:rsidR="00FF017F" w:rsidRDefault="00FF017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16" w:history="1">
            <w:r w:rsidRPr="008553F7">
              <w:rPr>
                <w:rStyle w:val="Hyperlink"/>
                <w:rFonts w:eastAsiaTheme="majorEastAsia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CA4DD" w14:textId="3CBF3B2E" w:rsidR="00FF017F" w:rsidRDefault="00FF017F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17" w:history="1">
            <w:r w:rsidRPr="008553F7">
              <w:rPr>
                <w:rStyle w:val="Hyperlink"/>
                <w:rFonts w:eastAsiaTheme="majorEastAsia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BREVE</w:t>
            </w:r>
            <w:r w:rsidRPr="008553F7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DESCRIZIONE</w:t>
            </w:r>
            <w:r w:rsidRPr="008553F7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DEL</w:t>
            </w:r>
            <w:r w:rsidRPr="008553F7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CONTRATTO</w:t>
            </w:r>
            <w:r w:rsidRPr="008553F7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E</w:t>
            </w:r>
            <w:r w:rsidRPr="008553F7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DEGLI</w:t>
            </w:r>
            <w:r w:rsidRPr="008553F7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EVENTUALI</w:t>
            </w:r>
            <w:r w:rsidRPr="008553F7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ATTI</w:t>
            </w:r>
            <w:r w:rsidRPr="008553F7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COLLEGATI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D6A7B" w14:textId="7A576044" w:rsidR="00FF017F" w:rsidRDefault="00FF017F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18" w:history="1">
            <w:r w:rsidRPr="008553F7">
              <w:rPr>
                <w:rStyle w:val="Hyperlink"/>
                <w:rFonts w:eastAsiaTheme="majorEastAsia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BREVE DESCRIZIONE DEI SERVIZI CONTRATTUALI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AD35D" w14:textId="19D0CF6B" w:rsidR="00FF017F" w:rsidRDefault="00FF017F">
          <w:pPr>
            <w:pStyle w:val="TOC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19" w:history="1">
            <w:r w:rsidRPr="008553F7">
              <w:rPr>
                <w:rStyle w:val="Hyperlink"/>
                <w:rFonts w:eastAsiaTheme="majorEastAsia"/>
                <w:b/>
                <w:bCs/>
                <w:noProof/>
              </w:rPr>
              <w:t>2.2.1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b/>
                <w:bCs/>
                <w:noProof/>
              </w:rPr>
              <w:t>Network Access Control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B7918" w14:textId="120427AD" w:rsidR="00FF017F" w:rsidRDefault="00FF017F">
          <w:pPr>
            <w:pStyle w:val="TOC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20" w:history="1">
            <w:r w:rsidRPr="008553F7">
              <w:rPr>
                <w:rStyle w:val="Hyperlink"/>
                <w:rFonts w:eastAsiaTheme="majorEastAsia"/>
                <w:b/>
                <w:bCs/>
                <w:noProof/>
                <w:lang w:val="en-US"/>
              </w:rPr>
              <w:t>2.2.2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b/>
                <w:bCs/>
                <w:noProof/>
                <w:lang w:val="en-US"/>
              </w:rPr>
              <w:t>Endpoint Protection, Detection &amp; Response Platform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14D2F" w14:textId="54BCDF89" w:rsidR="00FF017F" w:rsidRDefault="00FF017F">
          <w:pPr>
            <w:pStyle w:val="TOC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21" w:history="1">
            <w:r w:rsidRPr="008553F7">
              <w:rPr>
                <w:rStyle w:val="Hyperlink"/>
                <w:rFonts w:eastAsiaTheme="majorEastAsia"/>
                <w:b/>
                <w:bCs/>
                <w:noProof/>
              </w:rPr>
              <w:t>2.2.3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b/>
                <w:bCs/>
                <w:noProof/>
              </w:rPr>
              <w:t>Servizio di Supporto Specialistico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AD824" w14:textId="35D00FE4" w:rsidR="00FF017F" w:rsidRDefault="00FF017F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22" w:history="1">
            <w:r w:rsidRPr="008553F7">
              <w:rPr>
                <w:rStyle w:val="Hyperlink"/>
                <w:rFonts w:eastAsiaTheme="majorEastAsia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BREVE DESCRIZIONE DEI PRODOTTI/SERVIZI REALIZZATI E COLLAUDATI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2D5A4" w14:textId="267CBDA0" w:rsidR="00FF017F" w:rsidRDefault="00FF017F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23" w:history="1">
            <w:r w:rsidRPr="008553F7">
              <w:rPr>
                <w:rStyle w:val="Hyperlink"/>
                <w:rFonts w:eastAsiaTheme="majorEastAsia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BREVE DESCRIZIONE ATTIVITÀ DI MONITORAGGIO SVOLTE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AB219" w14:textId="5D3F8778" w:rsidR="00FF017F" w:rsidRDefault="00FF017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24" w:history="1">
            <w:r w:rsidRPr="008553F7">
              <w:rPr>
                <w:rStyle w:val="Hyperlink"/>
                <w:rFonts w:eastAsiaTheme="majorEastAsia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SINTESI</w:t>
            </w:r>
            <w:r w:rsidRPr="008553F7">
              <w:rPr>
                <w:rStyle w:val="Hyperlink"/>
                <w:rFonts w:eastAsiaTheme="majorEastAsia"/>
                <w:noProof/>
                <w:spacing w:val="-6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PER</w:t>
            </w:r>
            <w:r w:rsidRPr="008553F7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L’ALTA</w:t>
            </w:r>
            <w:r w:rsidRPr="008553F7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DIREZIONE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3F216D" w14:textId="75F3ADA8" w:rsidR="00FF017F" w:rsidRDefault="00FF017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25" w:history="1">
            <w:r w:rsidRPr="008553F7">
              <w:rPr>
                <w:rStyle w:val="Hyperlink"/>
                <w:rFonts w:eastAsiaTheme="majorEastAsia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METODOLOGIA</w:t>
            </w:r>
            <w:r w:rsidRPr="008553F7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DI</w:t>
            </w:r>
            <w:r w:rsidRPr="008553F7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ANALISI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24337" w14:textId="56A7E20F" w:rsidR="00FF017F" w:rsidRDefault="00FF017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26" w:history="1">
            <w:r w:rsidRPr="008553F7">
              <w:rPr>
                <w:rStyle w:val="Hyperlink"/>
                <w:rFonts w:eastAsiaTheme="majorEastAsia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STORIA</w:t>
            </w:r>
            <w:r w:rsidRPr="008553F7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DEL</w:t>
            </w:r>
            <w:r w:rsidRPr="008553F7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CONTRATTO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096F0B" w14:textId="0678D356" w:rsidR="00FF017F" w:rsidRDefault="00FF017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27" w:history="1">
            <w:r w:rsidRPr="008553F7">
              <w:rPr>
                <w:rStyle w:val="Hyperlink"/>
                <w:rFonts w:eastAsiaTheme="majorEastAsia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RISULTATI</w:t>
            </w:r>
            <w:r w:rsidRPr="008553F7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OTTENUTI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5DF94" w14:textId="43F78B45" w:rsidR="00FF017F" w:rsidRDefault="00FF017F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486728" w:history="1">
            <w:r w:rsidRPr="008553F7">
              <w:rPr>
                <w:rStyle w:val="Hyperlink"/>
                <w:rFonts w:eastAsiaTheme="majorEastAsia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8553F7">
              <w:rPr>
                <w:rStyle w:val="Hyperlink"/>
                <w:rFonts w:eastAsiaTheme="majorEastAsia"/>
                <w:noProof/>
              </w:rPr>
              <w:t>LEZIONI</w:t>
            </w:r>
            <w:r w:rsidRPr="008553F7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APPRESE</w:t>
            </w:r>
            <w:r w:rsidRPr="008553F7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ED</w:t>
            </w:r>
            <w:r w:rsidRPr="008553F7">
              <w:rPr>
                <w:rStyle w:val="Hyperlink"/>
                <w:rFonts w:eastAsiaTheme="majorEastAsia"/>
                <w:noProof/>
                <w:spacing w:val="-2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INIZIATIVE</w:t>
            </w:r>
            <w:r w:rsidRPr="008553F7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Pr="008553F7">
              <w:rPr>
                <w:rStyle w:val="Hyperlink"/>
                <w:rFonts w:eastAsiaTheme="majorEastAsia"/>
                <w:noProof/>
              </w:rPr>
              <w:t>FUTURE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_Toc177486728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6A9A11" w14:textId="158ED76E" w:rsidR="00044919" w:rsidRPr="00F041B2" w:rsidRDefault="00044919">
          <w:pPr>
            <w:rPr>
              <w:sz w:val="24"/>
              <w:szCs w:val="24"/>
            </w:rPr>
          </w:pPr>
          <w:r w:rsidRPr="00F041B2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E16405" w:rsidRDefault="00E16405">
      <w:pPr>
        <w:rPr>
          <w:color w:val="000000" w:themeColor="text1"/>
        </w:rPr>
        <w:sectPr w:rsidR="00E16405" w:rsidRPr="00E16405" w:rsidSect="00232B9C">
          <w:footerReference w:type="default" r:id="rId12"/>
          <w:pgSz w:w="11910" w:h="16840"/>
          <w:pgMar w:top="1440" w:right="1440" w:bottom="1440" w:left="1440" w:header="0" w:footer="1051" w:gutter="0"/>
          <w:cols w:space="720"/>
          <w:docGrid w:linePitch="299"/>
        </w:sectPr>
      </w:pPr>
    </w:p>
    <w:p w14:paraId="7B44B222" w14:textId="77777777" w:rsidR="00897775" w:rsidRPr="00703853" w:rsidRDefault="002F7EE0" w:rsidP="000263FD">
      <w:pPr>
        <w:pStyle w:val="Heading1"/>
        <w:numPr>
          <w:ilvl w:val="0"/>
          <w:numId w:val="2"/>
        </w:numPr>
      </w:pPr>
      <w:bookmarkStart w:id="0" w:name="_Toc177486715"/>
      <w:r w:rsidRPr="00703853">
        <w:lastRenderedPageBreak/>
        <w:t>DATI</w:t>
      </w:r>
      <w:r w:rsidRPr="00994ABE">
        <w:rPr>
          <w:spacing w:val="-4"/>
        </w:rPr>
        <w:t xml:space="preserve"> </w:t>
      </w:r>
      <w:r w:rsidRPr="00703853">
        <w:t>IDENTIFICATIVI</w:t>
      </w:r>
      <w:r w:rsidRPr="00994ABE">
        <w:rPr>
          <w:spacing w:val="-5"/>
        </w:rPr>
        <w:t xml:space="preserve"> </w:t>
      </w:r>
      <w:r w:rsidRPr="00703853">
        <w:t>DEL</w:t>
      </w:r>
      <w:r w:rsidRPr="00994ABE">
        <w:rPr>
          <w:spacing w:val="-4"/>
        </w:rPr>
        <w:t xml:space="preserve"> </w:t>
      </w:r>
      <w:r w:rsidRPr="00703853">
        <w:t>CONTRATTO</w:t>
      </w:r>
      <w:bookmarkEnd w:id="0"/>
    </w:p>
    <w:p w14:paraId="1572C8B3" w14:textId="77777777" w:rsidR="00897775" w:rsidRPr="00703853" w:rsidRDefault="00897775">
      <w:pPr>
        <w:pStyle w:val="BodyText"/>
        <w:spacing w:before="11"/>
        <w:rPr>
          <w:rFonts w:ascii="Calibri" w:hAnsi="Calibri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703853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702AAA28" w:rsidR="00897775" w:rsidRPr="005906E3" w:rsidRDefault="0086174D" w:rsidP="00B22C5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t xml:space="preserve">Ministero della Giustizia - </w:t>
            </w:r>
            <w:r w:rsidR="0010490D" w:rsidRPr="0010490D">
              <w:t>Dipartimento per l’innovazione tecnologica della giustizia</w:t>
            </w:r>
            <w:r>
              <w:t xml:space="preserve"> - Direzione Generale per i Sistemi Informativi Automatizzati (DGSIA)</w:t>
            </w:r>
          </w:p>
        </w:tc>
      </w:tr>
      <w:tr w:rsidR="00897775" w:rsidRPr="00703853" w14:paraId="45C794BF" w14:textId="77777777" w:rsidTr="009E21DC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5906E3" w:rsidRDefault="002F7EE0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0AEFEC91" w:rsidR="00897775" w:rsidRPr="005906E3" w:rsidRDefault="002261D8" w:rsidP="009E21D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7775" w:rsidRPr="00703853" w14:paraId="7300223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5906E3" w:rsidRDefault="002F7EE0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14:paraId="31751054" w14:textId="18F1A90C" w:rsidR="00897775" w:rsidRPr="005906E3" w:rsidRDefault="001D664A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t>ACCORDO QUADRO AI SENSI DELL’ART. 54 COMMA 3 DEL D. LGS. N. 50/2016, PER LA FORNITURA DI PRODOTTI PER LA SICUREZZA PERIMETRALE, PROTEZIONE DEGLI ENDPOINT E ANTI-APT ED EROGAZIONE DI SERVIZI CONNESSI PER LE PUBBLICHE AMMINISTRAZIONI</w:t>
            </w:r>
          </w:p>
        </w:tc>
      </w:tr>
      <w:tr w:rsidR="00897775" w:rsidRPr="00703853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5906E3" w:rsidRDefault="002F7EE0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(CIG,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REP,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ovvero</w:t>
            </w:r>
          </w:p>
          <w:p w14:paraId="70DCFB46" w14:textId="77777777" w:rsidR="00897775" w:rsidRPr="005906E3" w:rsidRDefault="002F7EE0">
            <w:pPr>
              <w:pStyle w:val="TableParagraph"/>
              <w:spacing w:before="19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7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4F7757EC" w:rsidR="00897775" w:rsidRPr="005906E3" w:rsidRDefault="001D664A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1D664A">
              <w:rPr>
                <w:sz w:val="24"/>
                <w:szCs w:val="24"/>
              </w:rPr>
              <w:t>990255246C</w:t>
            </w:r>
          </w:p>
        </w:tc>
      </w:tr>
      <w:tr w:rsidR="00897775" w:rsidRPr="00703853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97775" w:rsidRPr="005906E3" w:rsidRDefault="002F7EE0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RUP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Responsabile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Unico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</w:p>
          <w:p w14:paraId="246156F9" w14:textId="77777777" w:rsidR="00897775" w:rsidRPr="005906E3" w:rsidRDefault="002F7EE0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5229A6FA" w:rsidR="00897775" w:rsidRPr="005906E3" w:rsidRDefault="001D664A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Enrico Maresca</w:t>
            </w:r>
          </w:p>
        </w:tc>
      </w:tr>
      <w:tr w:rsidR="00897775" w:rsidRPr="00703853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97775" w:rsidRPr="005906E3" w:rsidRDefault="002F7EE0">
            <w:pPr>
              <w:pStyle w:val="TableParagraph"/>
              <w:spacing w:line="253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DEC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Direttore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4EE231EF" w14:textId="77777777" w:rsidR="00165D41" w:rsidRPr="006E1D9C" w:rsidRDefault="00165D41" w:rsidP="006E1D9C">
            <w:pPr>
              <w:pStyle w:val="TableParagraph"/>
              <w:jc w:val="both"/>
              <w:rPr>
                <w:sz w:val="24"/>
                <w:szCs w:val="24"/>
              </w:rPr>
            </w:pPr>
            <w:r w:rsidRPr="006E1D9C">
              <w:rPr>
                <w:sz w:val="24"/>
                <w:szCs w:val="24"/>
              </w:rPr>
              <w:t>Marco Moretti</w:t>
            </w:r>
          </w:p>
          <w:p w14:paraId="7CA57BBC" w14:textId="19A3B9E2" w:rsidR="00897775" w:rsidRPr="005906E3" w:rsidRDefault="00897775" w:rsidP="00B22C57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897775" w:rsidRPr="00703853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97775" w:rsidRPr="005906E3" w:rsidRDefault="002F7EE0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2CAD815F" w:rsidR="00897775" w:rsidRPr="005906E3" w:rsidRDefault="005851EE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Telecom Italia Spa</w:t>
            </w:r>
          </w:p>
        </w:tc>
      </w:tr>
      <w:tr w:rsidR="00897775" w:rsidRPr="00703853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97775" w:rsidRPr="005906E3" w:rsidRDefault="002F7EE0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33056EA0" w:rsidR="00897775" w:rsidRPr="005906E3" w:rsidRDefault="009C6138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9C6138">
              <w:rPr>
                <w:sz w:val="24"/>
                <w:szCs w:val="24"/>
              </w:rPr>
              <w:t>26/06/2023</w:t>
            </w:r>
          </w:p>
        </w:tc>
      </w:tr>
      <w:tr w:rsidR="00897775" w:rsidRPr="00703853" w14:paraId="1F68C037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inizio</w:t>
            </w:r>
            <w:r w:rsidRPr="005906E3">
              <w:rPr>
                <w:spacing w:val="-1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fine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14:paraId="30469902" w14:textId="3B2C9DA2" w:rsidR="00897775" w:rsidRPr="005906E3" w:rsidRDefault="00720C7B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F3F5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11</w:t>
            </w:r>
            <w:r w:rsidR="002F3F5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2023</w:t>
            </w:r>
            <w:r w:rsidR="002F3F51">
              <w:rPr>
                <w:sz w:val="24"/>
                <w:szCs w:val="24"/>
              </w:rPr>
              <w:t xml:space="preserve"> – 10/05/2026</w:t>
            </w:r>
          </w:p>
        </w:tc>
      </w:tr>
      <w:tr w:rsidR="00897775" w:rsidRPr="00703853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97775" w:rsidRPr="005906E3" w:rsidRDefault="002F7EE0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4CC683F1" w14:textId="1D1E3924" w:rsidR="00F37C1F" w:rsidRPr="005906E3" w:rsidRDefault="00BA7B2E" w:rsidP="00B22C57">
            <w:pPr>
              <w:jc w:val="both"/>
              <w:rPr>
                <w:color w:val="000000"/>
                <w:sz w:val="24"/>
                <w:szCs w:val="24"/>
              </w:rPr>
            </w:pPr>
            <w:r w:rsidRPr="00BA7B2E">
              <w:rPr>
                <w:rFonts w:ascii="Calibri" w:hAnsi="Calibri" w:cs="Calibri"/>
                <w:sz w:val="24"/>
                <w:szCs w:val="24"/>
              </w:rPr>
              <w:t>6.894.889,18</w:t>
            </w:r>
            <w:r w:rsidR="005F406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A7B2E">
              <w:rPr>
                <w:rFonts w:ascii="Calibri" w:hAnsi="Calibri" w:cs="Calibri"/>
                <w:sz w:val="24"/>
                <w:szCs w:val="24"/>
              </w:rPr>
              <w:t>€</w:t>
            </w:r>
            <w:r w:rsidR="002261D8">
              <w:rPr>
                <w:rFonts w:ascii="Calibri" w:hAnsi="Calibri" w:cs="Calibri"/>
                <w:sz w:val="24"/>
                <w:szCs w:val="24"/>
              </w:rPr>
              <w:t xml:space="preserve"> (Iva esclusa)</w:t>
            </w:r>
          </w:p>
        </w:tc>
      </w:tr>
      <w:tr w:rsidR="00897775" w:rsidRPr="00703853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97775" w:rsidRPr="005906E3" w:rsidRDefault="002F7EE0">
            <w:pPr>
              <w:pStyle w:val="TableParagraph"/>
              <w:spacing w:line="251" w:lineRule="exact"/>
              <w:ind w:right="90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altri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(quinto</w:t>
            </w:r>
          </w:p>
          <w:p w14:paraId="31624A85" w14:textId="77777777" w:rsidR="00897775" w:rsidRPr="005906E3" w:rsidRDefault="002F7EE0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d’obbligo,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atti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22D192DB" w14:textId="7683269E" w:rsidR="00897775" w:rsidRPr="005906E3" w:rsidRDefault="00A82EFB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Variazione importo originale</w:t>
            </w:r>
          </w:p>
        </w:tc>
      </w:tr>
      <w:tr w:rsidR="00897775" w:rsidRPr="00703853" w14:paraId="7490AD98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</w:tcPr>
          <w:p w14:paraId="6E775F52" w14:textId="10FFDE48" w:rsidR="00897775" w:rsidRPr="005906E3" w:rsidRDefault="002261D8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2261D8">
              <w:rPr>
                <w:rFonts w:ascii="Calibri" w:hAnsi="Calibri" w:cs="Calibri"/>
                <w:sz w:val="24"/>
                <w:szCs w:val="24"/>
              </w:rPr>
              <w:t>- 385.621,90 €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(Iva esclusa)</w:t>
            </w:r>
          </w:p>
        </w:tc>
      </w:tr>
      <w:tr w:rsidR="00897775" w:rsidRPr="00703853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897775" w:rsidRPr="005906E3" w:rsidRDefault="002F7EE0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base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più</w:t>
            </w:r>
          </w:p>
          <w:p w14:paraId="2D1FB631" w14:textId="77777777" w:rsidR="00897775" w:rsidRPr="005906E3" w:rsidRDefault="002F7EE0">
            <w:pPr>
              <w:pStyle w:val="TableParagraph"/>
              <w:spacing w:before="20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4C33D852" w:rsidR="00897775" w:rsidRPr="005906E3" w:rsidRDefault="002261D8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2261D8">
              <w:rPr>
                <w:rFonts w:ascii="Calibri" w:hAnsi="Calibri" w:cs="Calibri"/>
                <w:sz w:val="24"/>
                <w:szCs w:val="24"/>
              </w:rPr>
              <w:t>6.509.267,28 €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(Iva esclusa)</w:t>
            </w:r>
          </w:p>
        </w:tc>
      </w:tr>
      <w:tr w:rsidR="00897775" w:rsidRPr="00703853" w14:paraId="3A7273BD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897775" w:rsidRPr="005906E3" w:rsidRDefault="002F7EE0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collegate</w:t>
            </w:r>
          </w:p>
        </w:tc>
        <w:tc>
          <w:tcPr>
            <w:tcW w:w="5145" w:type="dxa"/>
          </w:tcPr>
          <w:p w14:paraId="337213E8" w14:textId="0250B460" w:rsidR="00897775" w:rsidRPr="005906E3" w:rsidRDefault="004910B6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703853" w14:paraId="21CE5E2A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stipula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357FE94" w14:textId="6D24758E" w:rsidR="00897775" w:rsidRPr="005906E3" w:rsidRDefault="004910B6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703853" w14:paraId="3F781470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897775" w:rsidRPr="005906E3" w:rsidRDefault="002F7EE0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inizio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fine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50895469" w14:textId="2ABEA8A6" w:rsidR="00897775" w:rsidRPr="005906E3" w:rsidRDefault="004910B6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775" w:rsidRPr="00703853" w14:paraId="2E776E98" w14:textId="77777777" w:rsidTr="00087E4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897775" w:rsidRPr="005906E3" w:rsidRDefault="002F7EE0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4F963D3" w14:textId="6F58AD9C" w:rsidR="00897775" w:rsidRPr="005906E3" w:rsidRDefault="004910B6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261D8" w:rsidRPr="00703853" w14:paraId="32E316A1" w14:textId="77777777" w:rsidTr="00F60F5C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2261D8" w:rsidRPr="005906E3" w:rsidRDefault="002261D8" w:rsidP="002261D8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totale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26FC8433" w:rsidR="002261D8" w:rsidRPr="005906E3" w:rsidRDefault="002261D8" w:rsidP="002261D8">
            <w:pPr>
              <w:pStyle w:val="TableParagraph"/>
              <w:rPr>
                <w:sz w:val="24"/>
                <w:szCs w:val="24"/>
              </w:rPr>
            </w:pPr>
            <w:r w:rsidRPr="002261D8">
              <w:rPr>
                <w:rFonts w:ascii="Calibri" w:hAnsi="Calibri" w:cs="Calibri"/>
                <w:sz w:val="24"/>
                <w:szCs w:val="24"/>
              </w:rPr>
              <w:t>6.509.267,28 €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(Iva esclusa)</w:t>
            </w:r>
          </w:p>
        </w:tc>
      </w:tr>
    </w:tbl>
    <w:p w14:paraId="638696FC" w14:textId="469F87E3" w:rsidR="00B25A04" w:rsidRDefault="00B25A04">
      <w:pPr>
        <w:pStyle w:val="BodyText"/>
        <w:rPr>
          <w:rFonts w:ascii="Calibri" w:hAnsi="Calibri" w:cs="Calibri"/>
          <w:sz w:val="20"/>
        </w:rPr>
      </w:pPr>
    </w:p>
    <w:p w14:paraId="5D19ECD5" w14:textId="43158521" w:rsidR="00897775" w:rsidRDefault="00897775" w:rsidP="005C4C12">
      <w:pPr>
        <w:rPr>
          <w:rFonts w:ascii="Calibri" w:hAnsi="Calibri" w:cs="Calibri"/>
          <w:sz w:val="20"/>
        </w:rPr>
      </w:pPr>
    </w:p>
    <w:p w14:paraId="2BA10EF8" w14:textId="64B8EB64" w:rsidR="005C4C12" w:rsidRDefault="005C4C12" w:rsidP="005C4C12">
      <w:pPr>
        <w:rPr>
          <w:rFonts w:ascii="Calibri" w:hAnsi="Calibri" w:cs="Calibri"/>
          <w:sz w:val="20"/>
        </w:rPr>
      </w:pPr>
    </w:p>
    <w:p w14:paraId="252B4534" w14:textId="77777777" w:rsidR="009E21DC" w:rsidRDefault="009E21DC" w:rsidP="005C4C12">
      <w:pPr>
        <w:rPr>
          <w:rFonts w:ascii="Calibri" w:hAnsi="Calibri" w:cs="Calibri"/>
          <w:sz w:val="20"/>
        </w:rPr>
      </w:pPr>
    </w:p>
    <w:p w14:paraId="64C67244" w14:textId="20384876" w:rsidR="005C4C12" w:rsidRDefault="005C4C12" w:rsidP="005C4C12">
      <w:pPr>
        <w:rPr>
          <w:rFonts w:ascii="Calibri" w:hAnsi="Calibri" w:cs="Calibri"/>
          <w:sz w:val="20"/>
        </w:rPr>
      </w:pPr>
    </w:p>
    <w:p w14:paraId="2A40A3F8" w14:textId="239A1A94" w:rsidR="005C4C12" w:rsidRDefault="005C4C12" w:rsidP="005C4C12">
      <w:pPr>
        <w:rPr>
          <w:rFonts w:ascii="Calibri" w:hAnsi="Calibri" w:cs="Calibri"/>
          <w:sz w:val="20"/>
        </w:rPr>
      </w:pPr>
    </w:p>
    <w:p w14:paraId="69FA63F3" w14:textId="30F49DB2" w:rsidR="005C4C12" w:rsidRDefault="005C4C12" w:rsidP="005C4C12">
      <w:pPr>
        <w:rPr>
          <w:rFonts w:ascii="Calibri" w:hAnsi="Calibri" w:cs="Calibri"/>
          <w:sz w:val="20"/>
        </w:rPr>
      </w:pPr>
    </w:p>
    <w:p w14:paraId="335279C6" w14:textId="29639A56" w:rsidR="005C4C12" w:rsidRDefault="005C4C12" w:rsidP="005C4C12">
      <w:pPr>
        <w:rPr>
          <w:rFonts w:ascii="Calibri" w:hAnsi="Calibri" w:cs="Calibri"/>
          <w:sz w:val="20"/>
        </w:rPr>
      </w:pPr>
    </w:p>
    <w:p w14:paraId="54D2F3E9" w14:textId="77777777" w:rsidR="005C4C12" w:rsidRPr="005C4C12" w:rsidRDefault="005C4C12" w:rsidP="005C4C12">
      <w:pPr>
        <w:rPr>
          <w:rFonts w:ascii="Calibri" w:hAnsi="Calibri" w:cs="Calibri"/>
          <w:sz w:val="20"/>
          <w:szCs w:val="24"/>
        </w:rPr>
      </w:pPr>
    </w:p>
    <w:p w14:paraId="348B57C3" w14:textId="049CF720" w:rsidR="00897775" w:rsidRDefault="002F7EE0" w:rsidP="005906E3">
      <w:pPr>
        <w:pStyle w:val="Heading1"/>
        <w:jc w:val="both"/>
      </w:pPr>
      <w:bookmarkStart w:id="1" w:name="_Toc177486716"/>
      <w:r w:rsidRPr="00703853">
        <w:t>INTRODUZIONE</w:t>
      </w:r>
      <w:bookmarkEnd w:id="1"/>
    </w:p>
    <w:p w14:paraId="14C12A25" w14:textId="77777777" w:rsidR="00593B70" w:rsidRPr="00DC4B94" w:rsidRDefault="00593B70" w:rsidP="005906E3">
      <w:pPr>
        <w:pStyle w:val="Heading1"/>
        <w:numPr>
          <w:ilvl w:val="0"/>
          <w:numId w:val="0"/>
        </w:numPr>
        <w:ind w:left="432"/>
        <w:jc w:val="both"/>
      </w:pPr>
    </w:p>
    <w:p w14:paraId="60B29D7E" w14:textId="77777777" w:rsidR="00897775" w:rsidRPr="00703853" w:rsidRDefault="002F7EE0" w:rsidP="005906E3">
      <w:pPr>
        <w:pStyle w:val="Heading2"/>
        <w:jc w:val="both"/>
      </w:pPr>
      <w:bookmarkStart w:id="2" w:name="_Toc177486717"/>
      <w:r w:rsidRPr="00703853">
        <w:t>BREVE</w:t>
      </w:r>
      <w:r w:rsidRPr="00703853">
        <w:rPr>
          <w:spacing w:val="-4"/>
        </w:rPr>
        <w:t xml:space="preserve"> </w:t>
      </w:r>
      <w:r w:rsidRPr="00703853">
        <w:t>DESCRIZIONE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5"/>
        </w:rPr>
        <w:t xml:space="preserve"> </w:t>
      </w:r>
      <w:r w:rsidRPr="00703853">
        <w:t>CONTRATTO</w:t>
      </w:r>
      <w:r w:rsidRPr="00703853">
        <w:rPr>
          <w:spacing w:val="-3"/>
        </w:rPr>
        <w:t xml:space="preserve"> </w:t>
      </w:r>
      <w:r w:rsidRPr="00703853">
        <w:t>E</w:t>
      </w:r>
      <w:r w:rsidRPr="00703853">
        <w:rPr>
          <w:spacing w:val="-4"/>
        </w:rPr>
        <w:t xml:space="preserve"> </w:t>
      </w:r>
      <w:r w:rsidRPr="00703853">
        <w:t>DEGLI</w:t>
      </w:r>
      <w:r w:rsidRPr="00703853">
        <w:rPr>
          <w:spacing w:val="-3"/>
        </w:rPr>
        <w:t xml:space="preserve"> </w:t>
      </w:r>
      <w:r w:rsidRPr="00703853">
        <w:t>EVENTUALI</w:t>
      </w:r>
      <w:r w:rsidRPr="00703853">
        <w:rPr>
          <w:spacing w:val="-1"/>
        </w:rPr>
        <w:t xml:space="preserve"> </w:t>
      </w:r>
      <w:r w:rsidRPr="00703853">
        <w:t>ATTI</w:t>
      </w:r>
      <w:r w:rsidRPr="00703853">
        <w:rPr>
          <w:spacing w:val="-4"/>
        </w:rPr>
        <w:t xml:space="preserve"> </w:t>
      </w:r>
      <w:r w:rsidRPr="00703853">
        <w:t>COLLEGATI</w:t>
      </w:r>
      <w:bookmarkEnd w:id="2"/>
    </w:p>
    <w:p w14:paraId="51B34B96" w14:textId="77777777" w:rsidR="00403D9D" w:rsidRDefault="00403D9D" w:rsidP="00674297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674297">
        <w:rPr>
          <w:i/>
          <w:iCs/>
        </w:rPr>
        <w:t>Di seguito vengo riportati i servizi erogati:</w:t>
      </w:r>
    </w:p>
    <w:p w14:paraId="1BBD486C" w14:textId="77777777" w:rsidR="002B270F" w:rsidRPr="00674297" w:rsidRDefault="002B270F" w:rsidP="00674297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666798A6" w14:textId="77777777" w:rsidR="00403D9D" w:rsidRPr="00E727E8" w:rsidRDefault="00403D9D" w:rsidP="00403D9D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E727E8">
        <w:rPr>
          <w:sz w:val="24"/>
          <w:szCs w:val="24"/>
        </w:rPr>
        <w:t>Network Access Control</w:t>
      </w:r>
    </w:p>
    <w:p w14:paraId="2F580C5F" w14:textId="77777777" w:rsidR="00403D9D" w:rsidRPr="00E727E8" w:rsidRDefault="00403D9D" w:rsidP="00403D9D">
      <w:pPr>
        <w:pStyle w:val="ListParagraph"/>
        <w:numPr>
          <w:ilvl w:val="0"/>
          <w:numId w:val="6"/>
        </w:numPr>
        <w:jc w:val="both"/>
        <w:rPr>
          <w:sz w:val="24"/>
          <w:szCs w:val="24"/>
          <w:lang w:val="en-US"/>
        </w:rPr>
      </w:pPr>
      <w:r w:rsidRPr="00E727E8">
        <w:rPr>
          <w:sz w:val="24"/>
          <w:szCs w:val="24"/>
          <w:lang w:val="en-US"/>
        </w:rPr>
        <w:t>Endpoint Protection, Detection &amp; Response Platform</w:t>
      </w:r>
    </w:p>
    <w:p w14:paraId="5FDF59D9" w14:textId="77777777" w:rsidR="00403D9D" w:rsidRPr="00E727E8" w:rsidRDefault="00403D9D" w:rsidP="00403D9D">
      <w:pPr>
        <w:pStyle w:val="ListParagraph"/>
        <w:numPr>
          <w:ilvl w:val="0"/>
          <w:numId w:val="6"/>
        </w:numPr>
        <w:jc w:val="both"/>
        <w:rPr>
          <w:sz w:val="24"/>
          <w:szCs w:val="24"/>
          <w:lang w:val="en-US"/>
        </w:rPr>
      </w:pPr>
      <w:r w:rsidRPr="00E727E8">
        <w:rPr>
          <w:sz w:val="24"/>
          <w:szCs w:val="24"/>
        </w:rPr>
        <w:t>Servizio di Supporto Specialistico</w:t>
      </w:r>
    </w:p>
    <w:p w14:paraId="754111F9" w14:textId="302743F9" w:rsidR="00674297" w:rsidRPr="00674297" w:rsidRDefault="00403D9D" w:rsidP="00674297">
      <w:pPr>
        <w:pStyle w:val="ListParagraph"/>
        <w:numPr>
          <w:ilvl w:val="0"/>
          <w:numId w:val="6"/>
        </w:numPr>
        <w:jc w:val="both"/>
        <w:rPr>
          <w:sz w:val="24"/>
          <w:szCs w:val="24"/>
          <w:lang w:val="en-US"/>
        </w:rPr>
      </w:pPr>
      <w:r w:rsidRPr="00E727E8">
        <w:rPr>
          <w:sz w:val="24"/>
          <w:szCs w:val="24"/>
        </w:rPr>
        <w:t>Servizi di manutenzione</w:t>
      </w:r>
    </w:p>
    <w:p w14:paraId="0894550F" w14:textId="741BA17D" w:rsidR="00403D9D" w:rsidRDefault="00403D9D" w:rsidP="00674297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674297">
        <w:rPr>
          <w:i/>
          <w:iCs/>
        </w:rPr>
        <w:t xml:space="preserve">Il valore complessivo massimo del contratto è </w:t>
      </w:r>
      <w:r w:rsidR="002261D8" w:rsidRPr="002261D8">
        <w:rPr>
          <w:i/>
          <w:iCs/>
        </w:rPr>
        <w:t xml:space="preserve">6.509.267,28 € </w:t>
      </w:r>
      <w:r w:rsidRPr="00674297">
        <w:rPr>
          <w:i/>
          <w:iCs/>
        </w:rPr>
        <w:t>IVA esclusa.</w:t>
      </w:r>
    </w:p>
    <w:p w14:paraId="7D67A93B" w14:textId="77777777" w:rsidR="002B270F" w:rsidRPr="00674297" w:rsidRDefault="002B270F" w:rsidP="00674297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65AA02C8" w14:textId="77777777" w:rsidR="007D64BD" w:rsidRPr="001563A1" w:rsidRDefault="007D64BD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1BC1081C" w14:textId="77777777" w:rsidR="00897775" w:rsidRPr="00593B70" w:rsidRDefault="002F7EE0" w:rsidP="005906E3">
      <w:pPr>
        <w:pStyle w:val="Heading2"/>
        <w:jc w:val="both"/>
      </w:pPr>
      <w:bookmarkStart w:id="3" w:name="_Toc177486718"/>
      <w:r w:rsidRPr="00593B70">
        <w:t>BREVE DESCRIZIONE DEI SERVIZI CONTRATTUALI</w:t>
      </w:r>
      <w:bookmarkEnd w:id="3"/>
    </w:p>
    <w:p w14:paraId="0139144C" w14:textId="7DD0C4C0" w:rsidR="00B25A04" w:rsidRDefault="00767A8C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 xml:space="preserve">Di seguito si riporta una descrizione sintetica dei </w:t>
      </w:r>
      <w:r w:rsidR="002F7EE0" w:rsidRPr="00267886">
        <w:rPr>
          <w:i/>
          <w:iCs/>
        </w:rPr>
        <w:t>servizi</w:t>
      </w:r>
      <w:r w:rsidR="002F7EE0" w:rsidRPr="00267886">
        <w:rPr>
          <w:i/>
          <w:iCs/>
          <w:spacing w:val="-2"/>
        </w:rPr>
        <w:t xml:space="preserve"> </w:t>
      </w:r>
      <w:r w:rsidR="00067272">
        <w:rPr>
          <w:i/>
          <w:iCs/>
          <w:spacing w:val="-2"/>
        </w:rPr>
        <w:t>sopraelencati</w:t>
      </w:r>
      <w:r w:rsidR="00D166C9">
        <w:rPr>
          <w:i/>
          <w:iCs/>
          <w:spacing w:val="-2"/>
        </w:rPr>
        <w:t>,</w:t>
      </w:r>
      <w:r w:rsidR="00067272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previsti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contrattualmente</w:t>
      </w:r>
      <w:r w:rsidR="00D166C9">
        <w:rPr>
          <w:i/>
          <w:iCs/>
        </w:rPr>
        <w:t>,</w:t>
      </w:r>
      <w:r w:rsidR="002F7EE0" w:rsidRPr="00267886">
        <w:rPr>
          <w:i/>
          <w:iCs/>
          <w:spacing w:val="-3"/>
        </w:rPr>
        <w:t xml:space="preserve"> </w:t>
      </w:r>
      <w:r w:rsidR="002F7EE0" w:rsidRPr="00267886">
        <w:rPr>
          <w:i/>
          <w:iCs/>
        </w:rPr>
        <w:t>ed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il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loro</w:t>
      </w:r>
      <w:r w:rsidR="00626106" w:rsidRPr="00267886">
        <w:rPr>
          <w:i/>
          <w:iCs/>
        </w:rPr>
        <w:t xml:space="preserve"> rispettivo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valore</w:t>
      </w:r>
      <w:r w:rsidR="002F7EE0" w:rsidRPr="00267886">
        <w:rPr>
          <w:i/>
          <w:iCs/>
          <w:spacing w:val="-3"/>
        </w:rPr>
        <w:t xml:space="preserve"> </w:t>
      </w:r>
      <w:r w:rsidR="002F7EE0" w:rsidRPr="00267886">
        <w:rPr>
          <w:i/>
          <w:iCs/>
        </w:rPr>
        <w:t>economico</w:t>
      </w:r>
      <w:r w:rsidR="00626106" w:rsidRPr="00267886">
        <w:rPr>
          <w:i/>
          <w:iCs/>
        </w:rPr>
        <w:t>.</w:t>
      </w:r>
    </w:p>
    <w:p w14:paraId="3ABE5FA8" w14:textId="3BFA8FC5" w:rsidR="009E05E1" w:rsidRDefault="009E05E1" w:rsidP="005906E3">
      <w:pPr>
        <w:jc w:val="both"/>
        <w:rPr>
          <w:sz w:val="24"/>
          <w:szCs w:val="24"/>
        </w:rPr>
      </w:pPr>
    </w:p>
    <w:p w14:paraId="3804A093" w14:textId="2F24C83E" w:rsidR="00AD79D5" w:rsidRDefault="00D07ABF" w:rsidP="00AD79D5">
      <w:pPr>
        <w:pStyle w:val="Heading3"/>
        <w:rPr>
          <w:rFonts w:ascii="Times New Roman" w:hAnsi="Times New Roman" w:cs="Times New Roman"/>
          <w:b/>
          <w:bCs/>
          <w:color w:val="auto"/>
        </w:rPr>
      </w:pPr>
      <w:bookmarkStart w:id="4" w:name="_Toc177486719"/>
      <w:r w:rsidRPr="00D07ABF">
        <w:rPr>
          <w:rFonts w:ascii="Times New Roman" w:hAnsi="Times New Roman" w:cs="Times New Roman"/>
          <w:b/>
          <w:bCs/>
          <w:color w:val="auto"/>
        </w:rPr>
        <w:t>Network Access Control</w:t>
      </w:r>
      <w:bookmarkEnd w:id="4"/>
    </w:p>
    <w:p w14:paraId="71C297CD" w14:textId="42C8EF82" w:rsidR="00A42F98" w:rsidRDefault="00A42F98" w:rsidP="00A42F98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675D21">
        <w:rPr>
          <w:i/>
          <w:iCs/>
        </w:rPr>
        <w:t xml:space="preserve">I servizi relativi </w:t>
      </w:r>
      <w:r w:rsidR="00D07ABF" w:rsidRPr="00D07ABF">
        <w:rPr>
          <w:i/>
          <w:iCs/>
        </w:rPr>
        <w:t>Network Access Control</w:t>
      </w:r>
      <w:r w:rsidRPr="00675D21">
        <w:rPr>
          <w:i/>
          <w:iCs/>
        </w:rPr>
        <w:t xml:space="preserve"> si articolano in: </w:t>
      </w:r>
    </w:p>
    <w:p w14:paraId="00DFC9F2" w14:textId="27758EE1" w:rsidR="00FC0477" w:rsidRDefault="00F2154D" w:rsidP="00FC0477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>Servizi di consegna e configurazione degli a</w:t>
      </w:r>
      <w:r w:rsidR="00720C7B">
        <w:rPr>
          <w:i/>
          <w:iCs/>
        </w:rPr>
        <w:t>pparati</w:t>
      </w:r>
      <w:r w:rsidR="00F24B64">
        <w:rPr>
          <w:i/>
          <w:iCs/>
        </w:rPr>
        <w:t xml:space="preserve"> NAC</w:t>
      </w:r>
      <w:r w:rsidR="00720C7B">
        <w:rPr>
          <w:i/>
          <w:iCs/>
        </w:rPr>
        <w:t xml:space="preserve"> </w:t>
      </w:r>
      <w:r w:rsidR="00FC0477" w:rsidRPr="00FC0477">
        <w:rPr>
          <w:i/>
          <w:iCs/>
        </w:rPr>
        <w:t>Fortinet</w:t>
      </w:r>
      <w:r w:rsidR="00720C7B">
        <w:rPr>
          <w:i/>
          <w:iCs/>
        </w:rPr>
        <w:t xml:space="preserve"> dedicati</w:t>
      </w:r>
      <w:r w:rsidR="00FC0477" w:rsidRPr="00FC0477">
        <w:rPr>
          <w:i/>
          <w:iCs/>
        </w:rPr>
        <w:t xml:space="preserve"> – Fascia 6</w:t>
      </w:r>
    </w:p>
    <w:p w14:paraId="368D231E" w14:textId="2E898712" w:rsidR="00AD79D5" w:rsidRPr="00401019" w:rsidRDefault="00401019" w:rsidP="00DC2B14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</w:pPr>
      <w:r w:rsidRPr="00401019">
        <w:rPr>
          <w:i/>
          <w:iCs/>
        </w:rPr>
        <w:t>Servizio di manutenzione: Fortinet-Fascia 6-HP</w:t>
      </w:r>
    </w:p>
    <w:p w14:paraId="0A09D798" w14:textId="77777777" w:rsidR="00401019" w:rsidRPr="0006560D" w:rsidRDefault="00401019" w:rsidP="0006560D">
      <w:pPr>
        <w:jc w:val="both"/>
        <w:rPr>
          <w:i/>
          <w:iCs/>
          <w:sz w:val="24"/>
          <w:szCs w:val="24"/>
        </w:rPr>
      </w:pPr>
    </w:p>
    <w:p w14:paraId="535A5EF1" w14:textId="0500004C" w:rsidR="001245BE" w:rsidRPr="003F3581" w:rsidRDefault="001245BE" w:rsidP="001245BE">
      <w:pPr>
        <w:jc w:val="both"/>
        <w:rPr>
          <w:rFonts w:ascii="Calibri" w:hAnsi="Calibri" w:cs="Calibri"/>
          <w:color w:val="000000"/>
          <w:lang w:eastAsia="it-IT"/>
        </w:rPr>
      </w:pPr>
      <w:r w:rsidRPr="00675D21">
        <w:rPr>
          <w:i/>
          <w:iCs/>
          <w:sz w:val="24"/>
          <w:szCs w:val="24"/>
        </w:rPr>
        <w:t>Il valore economico contrattuale associato a questa attività/servizio è</w:t>
      </w:r>
      <w:r>
        <w:rPr>
          <w:i/>
          <w:iCs/>
          <w:sz w:val="24"/>
          <w:szCs w:val="24"/>
        </w:rPr>
        <w:t xml:space="preserve"> </w:t>
      </w:r>
      <w:r w:rsidR="00276C30" w:rsidRPr="0006560D">
        <w:rPr>
          <w:i/>
          <w:iCs/>
          <w:sz w:val="24"/>
          <w:szCs w:val="24"/>
        </w:rPr>
        <w:t xml:space="preserve">2.933.895,50 </w:t>
      </w:r>
      <w:r w:rsidRPr="00675D21">
        <w:rPr>
          <w:i/>
          <w:iCs/>
          <w:sz w:val="24"/>
          <w:szCs w:val="24"/>
        </w:rPr>
        <w:t>euro IVA esclusa.</w:t>
      </w:r>
    </w:p>
    <w:p w14:paraId="53DFFF84" w14:textId="77777777" w:rsidR="001245BE" w:rsidRDefault="001245BE" w:rsidP="00AD79D5"/>
    <w:p w14:paraId="67AEFD87" w14:textId="77777777" w:rsidR="00B83DF6" w:rsidRPr="00AD79D5" w:rsidRDefault="00B83DF6" w:rsidP="00AD79D5"/>
    <w:p w14:paraId="7A4DA012" w14:textId="3F2069A1" w:rsidR="00AD79D5" w:rsidRDefault="00EA56FA" w:rsidP="00AD79D5">
      <w:pPr>
        <w:pStyle w:val="Heading3"/>
        <w:rPr>
          <w:rFonts w:ascii="Times New Roman" w:hAnsi="Times New Roman" w:cs="Times New Roman"/>
          <w:b/>
          <w:bCs/>
          <w:color w:val="auto"/>
          <w:lang w:val="en-US"/>
        </w:rPr>
      </w:pPr>
      <w:bookmarkStart w:id="5" w:name="_Toc177486720"/>
      <w:r w:rsidRPr="00EA56FA">
        <w:rPr>
          <w:rFonts w:ascii="Times New Roman" w:hAnsi="Times New Roman" w:cs="Times New Roman"/>
          <w:b/>
          <w:bCs/>
          <w:color w:val="auto"/>
          <w:lang w:val="en-US"/>
        </w:rPr>
        <w:t>Endpoint Protection, Detection &amp; Response Platform</w:t>
      </w:r>
      <w:bookmarkEnd w:id="5"/>
      <w:r w:rsidRPr="00EA56FA">
        <w:rPr>
          <w:rFonts w:ascii="Times New Roman" w:hAnsi="Times New Roman" w:cs="Times New Roman"/>
          <w:b/>
          <w:bCs/>
          <w:color w:val="auto"/>
          <w:lang w:val="en-US"/>
        </w:rPr>
        <w:cr/>
      </w:r>
    </w:p>
    <w:p w14:paraId="52E30178" w14:textId="5B3FD1A2" w:rsidR="007B103B" w:rsidRPr="007B103B" w:rsidRDefault="007B103B" w:rsidP="007B103B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675D21">
        <w:rPr>
          <w:i/>
          <w:iCs/>
        </w:rPr>
        <w:t xml:space="preserve">I servizi relativi </w:t>
      </w:r>
      <w:r w:rsidRPr="007B103B">
        <w:rPr>
          <w:i/>
          <w:iCs/>
        </w:rPr>
        <w:t xml:space="preserve">Endpoint Protection, Detection &amp; Response Platform </w:t>
      </w:r>
      <w:r w:rsidRPr="00675D21">
        <w:rPr>
          <w:i/>
          <w:iCs/>
        </w:rPr>
        <w:t xml:space="preserve">si articolano in: </w:t>
      </w:r>
    </w:p>
    <w:p w14:paraId="4FDE0298" w14:textId="4D291742" w:rsidR="007B103B" w:rsidRPr="00720C7B" w:rsidRDefault="00746D8B" w:rsidP="007B103B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>Servizi di e</w:t>
      </w:r>
      <w:r w:rsidR="007B103B" w:rsidRPr="00720C7B">
        <w:rPr>
          <w:i/>
          <w:iCs/>
        </w:rPr>
        <w:t xml:space="preserve">ndpoint </w:t>
      </w:r>
      <w:r>
        <w:rPr>
          <w:i/>
          <w:iCs/>
        </w:rPr>
        <w:t>p</w:t>
      </w:r>
      <w:r w:rsidR="007B103B" w:rsidRPr="00720C7B">
        <w:rPr>
          <w:i/>
          <w:iCs/>
        </w:rPr>
        <w:t>rotection</w:t>
      </w:r>
      <w:r w:rsidR="00F24B64">
        <w:rPr>
          <w:i/>
          <w:iCs/>
        </w:rPr>
        <w:t>,</w:t>
      </w:r>
      <w:r w:rsidR="007B103B" w:rsidRPr="00720C7B">
        <w:rPr>
          <w:i/>
          <w:iCs/>
        </w:rPr>
        <w:t xml:space="preserve"> </w:t>
      </w:r>
      <w:r w:rsidR="00720C7B" w:rsidRPr="00720C7B">
        <w:rPr>
          <w:i/>
          <w:iCs/>
        </w:rPr>
        <w:t>Servizi di manutenzione su Licenz</w:t>
      </w:r>
      <w:r w:rsidR="00720C7B">
        <w:rPr>
          <w:i/>
          <w:iCs/>
        </w:rPr>
        <w:t xml:space="preserve">e Trellix </w:t>
      </w:r>
      <w:r w:rsidR="002261D8">
        <w:rPr>
          <w:i/>
          <w:iCs/>
        </w:rPr>
        <w:t>acquistate, Servizi</w:t>
      </w:r>
      <w:r w:rsidR="00720C7B">
        <w:rPr>
          <w:i/>
          <w:iCs/>
        </w:rPr>
        <w:t xml:space="preserve"> di Supporto Specialistico </w:t>
      </w:r>
      <w:r>
        <w:rPr>
          <w:i/>
          <w:iCs/>
        </w:rPr>
        <w:t xml:space="preserve">Trellix </w:t>
      </w:r>
      <w:r w:rsidR="00720C7B">
        <w:rPr>
          <w:i/>
          <w:iCs/>
        </w:rPr>
        <w:t xml:space="preserve">a richiesta.  </w:t>
      </w:r>
      <w:r w:rsidR="00720C7B" w:rsidRPr="00720C7B">
        <w:rPr>
          <w:i/>
          <w:iCs/>
        </w:rPr>
        <w:t xml:space="preserve"> </w:t>
      </w:r>
    </w:p>
    <w:p w14:paraId="55CF8993" w14:textId="77777777" w:rsidR="0006560D" w:rsidRPr="00720C7B" w:rsidRDefault="0006560D" w:rsidP="0006560D">
      <w:pPr>
        <w:jc w:val="both"/>
        <w:rPr>
          <w:i/>
          <w:iCs/>
          <w:sz w:val="24"/>
          <w:szCs w:val="24"/>
        </w:rPr>
      </w:pPr>
    </w:p>
    <w:p w14:paraId="79281534" w14:textId="7611A86D" w:rsidR="0006560D" w:rsidRPr="0006560D" w:rsidRDefault="0006560D" w:rsidP="0006560D">
      <w:pPr>
        <w:jc w:val="both"/>
        <w:rPr>
          <w:i/>
          <w:iCs/>
          <w:sz w:val="24"/>
          <w:szCs w:val="24"/>
        </w:rPr>
      </w:pPr>
      <w:r w:rsidRPr="00675D21">
        <w:rPr>
          <w:i/>
          <w:iCs/>
          <w:sz w:val="24"/>
          <w:szCs w:val="24"/>
        </w:rPr>
        <w:t>Il valore economico contrattuale associato a questa attività/servizio è</w:t>
      </w:r>
      <w:r>
        <w:rPr>
          <w:i/>
          <w:iCs/>
          <w:sz w:val="24"/>
          <w:szCs w:val="24"/>
        </w:rPr>
        <w:t xml:space="preserve"> </w:t>
      </w:r>
      <w:r w:rsidR="00AD44BE" w:rsidRPr="00AD44BE">
        <w:rPr>
          <w:i/>
          <w:iCs/>
          <w:sz w:val="24"/>
          <w:szCs w:val="24"/>
        </w:rPr>
        <w:t>1.511.900,00 €</w:t>
      </w:r>
      <w:r w:rsidR="00AD44BE">
        <w:rPr>
          <w:i/>
          <w:iCs/>
          <w:sz w:val="24"/>
          <w:szCs w:val="24"/>
        </w:rPr>
        <w:t xml:space="preserve"> </w:t>
      </w:r>
      <w:r w:rsidRPr="00675D21">
        <w:rPr>
          <w:i/>
          <w:iCs/>
          <w:sz w:val="24"/>
          <w:szCs w:val="24"/>
        </w:rPr>
        <w:t>euro IVA esclusa.</w:t>
      </w:r>
    </w:p>
    <w:p w14:paraId="0EA0B64D" w14:textId="77777777" w:rsidR="0006560D" w:rsidRPr="007B103B" w:rsidRDefault="0006560D" w:rsidP="0006560D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6A4A1176" w14:textId="1681646F" w:rsidR="00AD79D5" w:rsidRDefault="000452E9" w:rsidP="00AD79D5">
      <w:pPr>
        <w:pStyle w:val="Heading3"/>
        <w:rPr>
          <w:rFonts w:ascii="Times New Roman" w:hAnsi="Times New Roman" w:cs="Times New Roman"/>
          <w:b/>
          <w:bCs/>
          <w:color w:val="auto"/>
        </w:rPr>
      </w:pPr>
      <w:bookmarkStart w:id="6" w:name="_Toc177486721"/>
      <w:r w:rsidRPr="000452E9">
        <w:rPr>
          <w:rFonts w:ascii="Times New Roman" w:hAnsi="Times New Roman" w:cs="Times New Roman"/>
          <w:b/>
          <w:bCs/>
          <w:color w:val="auto"/>
        </w:rPr>
        <w:t>Servizio di Supporto Specialistico</w:t>
      </w:r>
      <w:bookmarkEnd w:id="6"/>
    </w:p>
    <w:p w14:paraId="2183251E" w14:textId="77777777" w:rsidR="000452E9" w:rsidRDefault="000452E9" w:rsidP="000452E9"/>
    <w:p w14:paraId="4E9C37A4" w14:textId="0E586BD0" w:rsidR="007572B7" w:rsidRDefault="007572B7" w:rsidP="007572B7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7572B7">
        <w:rPr>
          <w:i/>
          <w:iCs/>
        </w:rPr>
        <w:t xml:space="preserve">I servizi relativi </w:t>
      </w:r>
      <w:r w:rsidR="009660E9">
        <w:rPr>
          <w:i/>
          <w:iCs/>
        </w:rPr>
        <w:t xml:space="preserve">al Servizio di Supporto Specialistico </w:t>
      </w:r>
      <w:r w:rsidR="00F24B64">
        <w:rPr>
          <w:i/>
          <w:iCs/>
        </w:rPr>
        <w:t xml:space="preserve">relativi al NAC </w:t>
      </w:r>
      <w:r w:rsidRPr="007572B7">
        <w:rPr>
          <w:i/>
          <w:iCs/>
        </w:rPr>
        <w:t>si articolano in</w:t>
      </w:r>
      <w:r w:rsidR="009660E9">
        <w:rPr>
          <w:i/>
          <w:iCs/>
        </w:rPr>
        <w:t>:</w:t>
      </w:r>
    </w:p>
    <w:p w14:paraId="184AF3D5" w14:textId="77777777" w:rsidR="003D074B" w:rsidRDefault="003D074B" w:rsidP="003D074B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  <w:rPr>
          <w:i/>
          <w:iCs/>
        </w:rPr>
      </w:pPr>
      <w:r w:rsidRPr="003D074B">
        <w:rPr>
          <w:i/>
          <w:iCs/>
        </w:rPr>
        <w:t>Junior Security Analist – fascia straordinaria</w:t>
      </w:r>
    </w:p>
    <w:p w14:paraId="36726C83" w14:textId="3CA7EC7B" w:rsidR="00B525B1" w:rsidRPr="00B525B1" w:rsidRDefault="00B525B1" w:rsidP="00B525B1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  <w:rPr>
          <w:i/>
          <w:iCs/>
        </w:rPr>
      </w:pPr>
      <w:r w:rsidRPr="003D074B">
        <w:rPr>
          <w:i/>
          <w:iCs/>
        </w:rPr>
        <w:t>Senior Security Analist -fascia straordinaria</w:t>
      </w:r>
    </w:p>
    <w:p w14:paraId="2C08FB91" w14:textId="71BFF801" w:rsidR="00B525B1" w:rsidRDefault="00B525B1" w:rsidP="00B525B1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  <w:rPr>
          <w:i/>
          <w:iCs/>
        </w:rPr>
      </w:pPr>
      <w:r w:rsidRPr="003D074B">
        <w:rPr>
          <w:i/>
          <w:iCs/>
        </w:rPr>
        <w:t>Security Principal – fascia standard</w:t>
      </w:r>
    </w:p>
    <w:p w14:paraId="3D8C055B" w14:textId="1EEBCF26" w:rsidR="00B525B1" w:rsidRPr="00B525B1" w:rsidRDefault="00B525B1" w:rsidP="00B525B1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  <w:rPr>
          <w:i/>
          <w:iCs/>
        </w:rPr>
      </w:pPr>
      <w:r w:rsidRPr="003D074B">
        <w:rPr>
          <w:i/>
          <w:iCs/>
        </w:rPr>
        <w:lastRenderedPageBreak/>
        <w:t>Security Principal – fascia straordinaria</w:t>
      </w:r>
    </w:p>
    <w:p w14:paraId="76A10767" w14:textId="77777777" w:rsidR="003D074B" w:rsidRPr="003D074B" w:rsidRDefault="003D074B" w:rsidP="003D074B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  <w:rPr>
          <w:i/>
          <w:iCs/>
        </w:rPr>
      </w:pPr>
      <w:r w:rsidRPr="003D074B">
        <w:rPr>
          <w:i/>
          <w:iCs/>
        </w:rPr>
        <w:t>Senior Security Architec – fascia straordinaria</w:t>
      </w:r>
    </w:p>
    <w:p w14:paraId="1AA5FD78" w14:textId="77777777" w:rsidR="003D074B" w:rsidRPr="003D074B" w:rsidRDefault="003D074B" w:rsidP="003D074B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  <w:rPr>
          <w:i/>
          <w:iCs/>
        </w:rPr>
      </w:pPr>
      <w:r w:rsidRPr="003D074B">
        <w:rPr>
          <w:i/>
          <w:iCs/>
        </w:rPr>
        <w:t>Senior Security Tester fascia-standard</w:t>
      </w:r>
    </w:p>
    <w:p w14:paraId="05728C42" w14:textId="77777777" w:rsidR="007B3DE0" w:rsidRDefault="003D074B" w:rsidP="007B3DE0">
      <w:pPr>
        <w:pStyle w:val="BodyText"/>
        <w:numPr>
          <w:ilvl w:val="0"/>
          <w:numId w:val="8"/>
        </w:numPr>
        <w:tabs>
          <w:tab w:val="left" w:pos="9072"/>
        </w:tabs>
        <w:spacing w:before="117"/>
        <w:jc w:val="both"/>
        <w:rPr>
          <w:i/>
          <w:iCs/>
        </w:rPr>
      </w:pPr>
      <w:r w:rsidRPr="003D074B">
        <w:rPr>
          <w:i/>
          <w:iCs/>
        </w:rPr>
        <w:t>Senior Security Tester fascia-straordinaria</w:t>
      </w:r>
    </w:p>
    <w:p w14:paraId="0867E3F5" w14:textId="77777777" w:rsidR="007B3DE0" w:rsidRDefault="007B3DE0" w:rsidP="007B3DE0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047743AA" w14:textId="57F69521" w:rsidR="007B3DE0" w:rsidRPr="007B3DE0" w:rsidRDefault="007B3DE0" w:rsidP="007B3DE0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7B3DE0">
        <w:rPr>
          <w:i/>
          <w:iCs/>
        </w:rPr>
        <w:t xml:space="preserve">Il valore economico contrattuale associato a questa attività/servizio è </w:t>
      </w:r>
      <w:r w:rsidR="00FC7D23" w:rsidRPr="00FC7D23">
        <w:rPr>
          <w:i/>
          <w:iCs/>
        </w:rPr>
        <w:t>2.449.093,68</w:t>
      </w:r>
      <w:r w:rsidR="00FC7D23">
        <w:rPr>
          <w:i/>
          <w:iCs/>
        </w:rPr>
        <w:t xml:space="preserve"> </w:t>
      </w:r>
      <w:r w:rsidRPr="007B3DE0">
        <w:rPr>
          <w:i/>
          <w:iCs/>
        </w:rPr>
        <w:t>€ euro IVA esclusa.</w:t>
      </w:r>
    </w:p>
    <w:p w14:paraId="2B97B684" w14:textId="77777777" w:rsidR="007572B7" w:rsidRPr="007572B7" w:rsidRDefault="007572B7" w:rsidP="007572B7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019A0F09" w14:textId="77777777" w:rsidR="00AD79D5" w:rsidRPr="007572B7" w:rsidRDefault="00AD79D5" w:rsidP="007572B7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54473CE0" w14:textId="5A6DF23E" w:rsidR="00897775" w:rsidRDefault="002F7EE0" w:rsidP="005906E3">
      <w:pPr>
        <w:pStyle w:val="Heading2"/>
        <w:jc w:val="both"/>
      </w:pPr>
      <w:bookmarkStart w:id="7" w:name="_Toc177486722"/>
      <w:r w:rsidRPr="00593B70">
        <w:t xml:space="preserve">BREVE </w:t>
      </w:r>
      <w:r w:rsidRPr="00C903BA">
        <w:t>DESCRIZIONE</w:t>
      </w:r>
      <w:r w:rsidRPr="00593B70">
        <w:t xml:space="preserve"> DEI </w:t>
      </w:r>
      <w:r w:rsidRPr="00C903BA">
        <w:t>PRODOTTI</w:t>
      </w:r>
      <w:r w:rsidRPr="00593B70">
        <w:t>/SERVIZI REALIZZATI E COLLAUDATI</w:t>
      </w:r>
      <w:bookmarkEnd w:id="7"/>
    </w:p>
    <w:p w14:paraId="2F0F60BD" w14:textId="77777777" w:rsidR="008369C3" w:rsidRDefault="008369C3" w:rsidP="008369C3">
      <w:pPr>
        <w:pStyle w:val="Heading2"/>
        <w:numPr>
          <w:ilvl w:val="0"/>
          <w:numId w:val="0"/>
        </w:numPr>
        <w:jc w:val="both"/>
      </w:pPr>
    </w:p>
    <w:p w14:paraId="1E4CC1BD" w14:textId="633921C5" w:rsidR="00720C7B" w:rsidRDefault="008369C3" w:rsidP="00720C7B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t>-</w:t>
      </w:r>
      <w:r w:rsidR="00720C7B">
        <w:t>_</w:t>
      </w:r>
      <w:r w:rsidR="00720C7B">
        <w:rPr>
          <w:i/>
          <w:iCs/>
        </w:rPr>
        <w:t>è stata fatta una Verifica di Conformità sulla consegna ed efficacia delle licenze di prodotto Trellix</w:t>
      </w:r>
      <w:r w:rsidR="001B20C1">
        <w:rPr>
          <w:i/>
          <w:iCs/>
        </w:rPr>
        <w:t xml:space="preserve"> (Novembre 2023)</w:t>
      </w:r>
      <w:r w:rsidR="00720C7B">
        <w:rPr>
          <w:i/>
          <w:iCs/>
        </w:rPr>
        <w:t xml:space="preserve">; </w:t>
      </w:r>
      <w:r w:rsidR="001B20C1">
        <w:rPr>
          <w:i/>
          <w:iCs/>
        </w:rPr>
        <w:t xml:space="preserve">nel periodo di riferimento (Aprile 2024 – </w:t>
      </w:r>
      <w:r w:rsidR="00CF0B20">
        <w:rPr>
          <w:i/>
          <w:iCs/>
        </w:rPr>
        <w:t>Settembre</w:t>
      </w:r>
      <w:r w:rsidR="001B20C1">
        <w:rPr>
          <w:i/>
          <w:iCs/>
        </w:rPr>
        <w:t xml:space="preserve"> 2024) non sono state effettuate ulteriori Verifiche:</w:t>
      </w:r>
    </w:p>
    <w:p w14:paraId="3731E2EA" w14:textId="56E166BD" w:rsidR="00720C7B" w:rsidRPr="007B3DE0" w:rsidRDefault="00720C7B" w:rsidP="00720C7B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>- post dispiegamento degli apparati nelle sedi di Napoli, Milano, Roma e Palermo, comprensivi di ForniNAC Manager</w:t>
      </w:r>
      <w:r w:rsidRPr="00F24B64">
        <w:rPr>
          <w:i/>
          <w:iCs/>
        </w:rPr>
        <w:t xml:space="preserve">, è </w:t>
      </w:r>
      <w:r w:rsidR="001B20C1">
        <w:rPr>
          <w:i/>
          <w:iCs/>
        </w:rPr>
        <w:t>stato effettuato nel periodo di riferimento (</w:t>
      </w:r>
      <w:r w:rsidR="001B20C1" w:rsidRPr="00F24B64">
        <w:rPr>
          <w:i/>
          <w:iCs/>
        </w:rPr>
        <w:t>Aprile 2024</w:t>
      </w:r>
      <w:r w:rsidR="00CF0B20">
        <w:rPr>
          <w:i/>
          <w:iCs/>
        </w:rPr>
        <w:t xml:space="preserve"> – Settembre 2024</w:t>
      </w:r>
      <w:r w:rsidR="001B20C1">
        <w:rPr>
          <w:i/>
          <w:iCs/>
        </w:rPr>
        <w:t>)</w:t>
      </w:r>
      <w:r w:rsidRPr="00F24B64">
        <w:rPr>
          <w:i/>
          <w:iCs/>
        </w:rPr>
        <w:t xml:space="preserve"> il Collaudo</w:t>
      </w:r>
      <w:r w:rsidR="00AD3ECA" w:rsidRPr="00F24B64">
        <w:rPr>
          <w:i/>
          <w:iCs/>
        </w:rPr>
        <w:t xml:space="preserve"> </w:t>
      </w:r>
      <w:r w:rsidR="00F24B64" w:rsidRPr="00F24B64">
        <w:rPr>
          <w:i/>
          <w:iCs/>
        </w:rPr>
        <w:t xml:space="preserve">formale </w:t>
      </w:r>
      <w:r w:rsidR="00AD3ECA" w:rsidRPr="00F24B64">
        <w:rPr>
          <w:i/>
          <w:iCs/>
        </w:rPr>
        <w:t>specifico degli apparati</w:t>
      </w:r>
      <w:r w:rsidR="00327E3E" w:rsidRPr="00F24B64">
        <w:rPr>
          <w:i/>
          <w:iCs/>
        </w:rPr>
        <w:t xml:space="preserve"> consegnati</w:t>
      </w:r>
      <w:r w:rsidR="001B20C1">
        <w:rPr>
          <w:i/>
          <w:iCs/>
        </w:rPr>
        <w:t>.</w:t>
      </w:r>
    </w:p>
    <w:p w14:paraId="00B7F163" w14:textId="0FDAEBE6" w:rsidR="008369C3" w:rsidRDefault="008369C3" w:rsidP="008369C3">
      <w:pPr>
        <w:pStyle w:val="Heading2"/>
        <w:numPr>
          <w:ilvl w:val="0"/>
          <w:numId w:val="0"/>
        </w:numPr>
        <w:jc w:val="both"/>
      </w:pPr>
    </w:p>
    <w:p w14:paraId="6717E9F7" w14:textId="77777777" w:rsidR="008369C3" w:rsidRPr="005F5034" w:rsidRDefault="008369C3" w:rsidP="008369C3">
      <w:pPr>
        <w:pStyle w:val="Heading2"/>
        <w:numPr>
          <w:ilvl w:val="0"/>
          <w:numId w:val="0"/>
        </w:numPr>
        <w:jc w:val="both"/>
      </w:pPr>
    </w:p>
    <w:p w14:paraId="2DD83607" w14:textId="77777777" w:rsidR="00BE1065" w:rsidRPr="00C754F5" w:rsidRDefault="00BE1065" w:rsidP="005906E3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hAnsi="Calibri" w:cs="Calibri"/>
          <w:i/>
          <w:iCs/>
        </w:rPr>
      </w:pPr>
    </w:p>
    <w:p w14:paraId="320F40B7" w14:textId="6FDAE0D9" w:rsidR="005F5034" w:rsidRDefault="002F7EE0" w:rsidP="005906E3">
      <w:pPr>
        <w:pStyle w:val="Heading2"/>
        <w:jc w:val="both"/>
      </w:pPr>
      <w:bookmarkStart w:id="8" w:name="_Toc177486723"/>
      <w:r w:rsidRPr="00703853">
        <w:t>B</w:t>
      </w:r>
      <w:r w:rsidRPr="004A464B">
        <w:t>REVE DESCRIZIONE ATTIVITÀ DI MONITORAGGIO SVOLTE</w:t>
      </w:r>
      <w:bookmarkEnd w:id="8"/>
    </w:p>
    <w:p w14:paraId="7E92AD51" w14:textId="77777777" w:rsidR="008369C3" w:rsidRDefault="008369C3" w:rsidP="008369C3">
      <w:pPr>
        <w:pStyle w:val="ListParagraph"/>
      </w:pPr>
    </w:p>
    <w:p w14:paraId="1EC561D7" w14:textId="3DB5C388" w:rsidR="00AD3ECA" w:rsidRPr="00604863" w:rsidRDefault="00720C7B" w:rsidP="00604863">
      <w:pPr>
        <w:pStyle w:val="BodyText"/>
        <w:spacing w:before="87" w:after="240" w:line="259" w:lineRule="auto"/>
        <w:ind w:hanging="11"/>
        <w:jc w:val="both"/>
        <w:rPr>
          <w:i/>
          <w:iCs/>
        </w:rPr>
      </w:pPr>
      <w:r w:rsidRPr="004852E2">
        <w:rPr>
          <w:i/>
          <w:iCs/>
        </w:rPr>
        <w:t xml:space="preserve">Per quanto riguarda le licenze Trellix, è stato verificato che le licenze sono </w:t>
      </w:r>
      <w:r w:rsidR="0070342E">
        <w:rPr>
          <w:i/>
          <w:iCs/>
        </w:rPr>
        <w:t xml:space="preserve">risultate </w:t>
      </w:r>
      <w:r w:rsidRPr="004852E2">
        <w:rPr>
          <w:i/>
          <w:iCs/>
        </w:rPr>
        <w:t xml:space="preserve">in stato di attivazione </w:t>
      </w:r>
      <w:r w:rsidR="0070342E">
        <w:rPr>
          <w:i/>
          <w:iCs/>
        </w:rPr>
        <w:t>fino al 28 Giugno 2024 con</w:t>
      </w:r>
      <w:r w:rsidRPr="004852E2">
        <w:rPr>
          <w:i/>
          <w:iCs/>
        </w:rPr>
        <w:t xml:space="preserve"> corretta attività di protezione degli endpoin</w:t>
      </w:r>
      <w:r w:rsidR="005D5383">
        <w:rPr>
          <w:i/>
          <w:iCs/>
        </w:rPr>
        <w:t>t.</w:t>
      </w:r>
      <w:r w:rsidRPr="004852E2">
        <w:rPr>
          <w:i/>
          <w:iCs/>
        </w:rPr>
        <w:t xml:space="preserve"> </w:t>
      </w:r>
    </w:p>
    <w:p w14:paraId="3AF0E81B" w14:textId="54ABC383" w:rsidR="00AB3D00" w:rsidRPr="00604863" w:rsidRDefault="005D5383" w:rsidP="00604863">
      <w:pPr>
        <w:pStyle w:val="BodyText"/>
        <w:spacing w:before="87" w:after="240" w:line="259" w:lineRule="auto"/>
        <w:ind w:hanging="11"/>
        <w:jc w:val="both"/>
        <w:rPr>
          <w:i/>
          <w:iCs/>
        </w:rPr>
      </w:pPr>
      <w:r>
        <w:rPr>
          <w:i/>
          <w:iCs/>
        </w:rPr>
        <w:t>P</w:t>
      </w:r>
      <w:r w:rsidR="00720C7B" w:rsidRPr="004852E2">
        <w:rPr>
          <w:i/>
          <w:iCs/>
        </w:rPr>
        <w:t>er quanto riguarda i prodotti e servizi relativi al NAC</w:t>
      </w:r>
      <w:r w:rsidR="004852E2" w:rsidRPr="004852E2">
        <w:rPr>
          <w:i/>
          <w:iCs/>
        </w:rPr>
        <w:t>, l</w:t>
      </w:r>
      <w:r w:rsidR="004852E2">
        <w:rPr>
          <w:i/>
          <w:iCs/>
        </w:rPr>
        <w:t xml:space="preserve">’attività di monitoraggio viene condotta attraverso la produzione </w:t>
      </w:r>
      <w:r w:rsidR="00AD3ECA">
        <w:rPr>
          <w:i/>
          <w:iCs/>
        </w:rPr>
        <w:t>con</w:t>
      </w:r>
      <w:r>
        <w:rPr>
          <w:i/>
          <w:iCs/>
        </w:rPr>
        <w:t xml:space="preserve"> cadenza bi-settimanale </w:t>
      </w:r>
      <w:r w:rsidR="004852E2">
        <w:rPr>
          <w:i/>
          <w:iCs/>
        </w:rPr>
        <w:t>di documenti di SAL</w:t>
      </w:r>
      <w:r w:rsidR="00E012F7">
        <w:rPr>
          <w:i/>
          <w:iCs/>
        </w:rPr>
        <w:t xml:space="preserve"> che verificano e certificano lo stato di avanzamento del progetto in base a quanto previsto dal Piano di Lavoro</w:t>
      </w:r>
      <w:r>
        <w:rPr>
          <w:i/>
          <w:iCs/>
        </w:rPr>
        <w:t>.</w:t>
      </w:r>
      <w:r w:rsidR="004852E2">
        <w:rPr>
          <w:i/>
          <w:iCs/>
        </w:rPr>
        <w:t xml:space="preserve"> </w:t>
      </w:r>
    </w:p>
    <w:p w14:paraId="7B36A324" w14:textId="77777777" w:rsidR="004852E2" w:rsidRDefault="004852E2" w:rsidP="00207A37">
      <w:pPr>
        <w:pStyle w:val="Heading2"/>
        <w:numPr>
          <w:ilvl w:val="0"/>
          <w:numId w:val="0"/>
        </w:numPr>
        <w:jc w:val="both"/>
        <w:rPr>
          <w:b w:val="0"/>
          <w:bCs w:val="0"/>
          <w:i/>
          <w:iCs/>
        </w:rPr>
      </w:pPr>
    </w:p>
    <w:p w14:paraId="118114D2" w14:textId="77777777" w:rsidR="004852E2" w:rsidRPr="004A464B" w:rsidRDefault="004852E2" w:rsidP="00207A37">
      <w:pPr>
        <w:pStyle w:val="Heading2"/>
        <w:numPr>
          <w:ilvl w:val="0"/>
          <w:numId w:val="0"/>
        </w:numPr>
        <w:jc w:val="both"/>
      </w:pPr>
    </w:p>
    <w:p w14:paraId="4C497FA1" w14:textId="32A9D629" w:rsidR="00840253" w:rsidRDefault="002F7EE0" w:rsidP="005906E3">
      <w:pPr>
        <w:pStyle w:val="Heading1"/>
        <w:jc w:val="both"/>
      </w:pPr>
      <w:bookmarkStart w:id="9" w:name="_Toc177486724"/>
      <w:r w:rsidRPr="00703853">
        <w:t>SINTESI</w:t>
      </w:r>
      <w:r w:rsidRPr="00703853">
        <w:rPr>
          <w:spacing w:val="-6"/>
        </w:rPr>
        <w:t xml:space="preserve"> </w:t>
      </w:r>
      <w:r w:rsidRPr="00703853">
        <w:t>PER</w:t>
      </w:r>
      <w:r w:rsidRPr="00703853">
        <w:rPr>
          <w:spacing w:val="-5"/>
        </w:rPr>
        <w:t xml:space="preserve"> </w:t>
      </w:r>
      <w:r w:rsidRPr="00703853">
        <w:t>L’ALTA</w:t>
      </w:r>
      <w:r w:rsidRPr="00703853">
        <w:rPr>
          <w:spacing w:val="-4"/>
        </w:rPr>
        <w:t xml:space="preserve"> </w:t>
      </w:r>
      <w:r w:rsidRPr="00703853">
        <w:t>DIREZIONE</w:t>
      </w:r>
      <w:bookmarkEnd w:id="9"/>
    </w:p>
    <w:p w14:paraId="3E6AE86D" w14:textId="7D8B7F6C" w:rsidR="005C3279" w:rsidRPr="00087E49" w:rsidRDefault="005C3279" w:rsidP="005906E3">
      <w:pPr>
        <w:pStyle w:val="pf0"/>
        <w:jc w:val="both"/>
        <w:rPr>
          <w:i/>
          <w:iCs/>
          <w:lang w:val="it-IT"/>
        </w:rPr>
      </w:pPr>
      <w:r w:rsidRPr="00087E49">
        <w:rPr>
          <w:i/>
          <w:iCs/>
          <w:lang w:val="it-IT"/>
        </w:rPr>
        <w:t>Questa informazione sarà condivisa nella prima nota utile dopo la conclusione del contratto</w:t>
      </w:r>
      <w:r w:rsidR="00B5555E">
        <w:rPr>
          <w:i/>
          <w:iCs/>
          <w:lang w:val="it-IT"/>
        </w:rPr>
        <w:t>.</w:t>
      </w:r>
      <w:r w:rsidRPr="00087E49">
        <w:rPr>
          <w:i/>
          <w:iCs/>
          <w:lang w:val="it-IT"/>
        </w:rPr>
        <w:t xml:space="preserve"> </w:t>
      </w:r>
    </w:p>
    <w:p w14:paraId="3889A1E9" w14:textId="77777777" w:rsidR="00840253" w:rsidRDefault="00840253" w:rsidP="005906E3">
      <w:pPr>
        <w:jc w:val="both"/>
      </w:pPr>
    </w:p>
    <w:p w14:paraId="37DF9EEA" w14:textId="2420C5B0" w:rsidR="000944A7" w:rsidRPr="001F73A0" w:rsidRDefault="002F7EE0" w:rsidP="005906E3">
      <w:pPr>
        <w:pStyle w:val="Heading1"/>
        <w:jc w:val="both"/>
      </w:pPr>
      <w:bookmarkStart w:id="10" w:name="_Toc177486725"/>
      <w:r w:rsidRPr="00703853">
        <w:t>METODOLOGIA</w:t>
      </w:r>
      <w:r w:rsidRPr="00703853">
        <w:rPr>
          <w:spacing w:val="-5"/>
        </w:rPr>
        <w:t xml:space="preserve"> </w:t>
      </w:r>
      <w:r w:rsidRPr="00703853">
        <w:t>DI</w:t>
      </w:r>
      <w:r w:rsidRPr="00703853">
        <w:rPr>
          <w:spacing w:val="-3"/>
        </w:rPr>
        <w:t xml:space="preserve"> </w:t>
      </w:r>
      <w:r w:rsidRPr="00703853">
        <w:t>ANALISI</w:t>
      </w:r>
      <w:bookmarkEnd w:id="10"/>
    </w:p>
    <w:p w14:paraId="5A6F0CD9" w14:textId="5BEA0E60" w:rsidR="00856D81" w:rsidRDefault="002C2C0A" w:rsidP="002C2C0A">
      <w:pPr>
        <w:pStyle w:val="BodyText"/>
        <w:spacing w:before="87" w:after="240" w:line="259" w:lineRule="auto"/>
        <w:ind w:hanging="11"/>
        <w:jc w:val="both"/>
        <w:rPr>
          <w:i/>
          <w:iCs/>
        </w:rPr>
      </w:pPr>
      <w:bookmarkStart w:id="11" w:name="_Hlk130994056"/>
      <w:r>
        <w:rPr>
          <w:i/>
          <w:iCs/>
        </w:rPr>
        <w:t>I principali indicatori utilizzati per il monitoraggio e l’analisi dell’andamento del contratto sono riportati seguito.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="00BC2E86" w14:paraId="563E7133" w14:textId="71087D03" w:rsidTr="002C2C0A">
        <w:tc>
          <w:tcPr>
            <w:tcW w:w="2689" w:type="dxa"/>
            <w:shd w:val="clear" w:color="auto" w:fill="C6D9F1" w:themeFill="text2" w:themeFillTint="33"/>
            <w:vAlign w:val="center"/>
          </w:tcPr>
          <w:bookmarkEnd w:id="11"/>
          <w:p w14:paraId="1114639E" w14:textId="3447F55F" w:rsidR="00BC2E86" w:rsidRPr="00087E49" w:rsidRDefault="00BC2E86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087E49">
              <w:rPr>
                <w:b/>
                <w:bCs/>
                <w:i/>
                <w:i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14:paraId="6DB0D492" w14:textId="5B5141B4" w:rsidR="00BC2E86" w:rsidRPr="00087E49" w:rsidRDefault="00632AEE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632AEE">
              <w:rPr>
                <w:b/>
                <w:bCs/>
                <w:i/>
                <w:iCs/>
              </w:rPr>
              <w:t>Descrizione Indicatore</w:t>
            </w:r>
          </w:p>
        </w:tc>
      </w:tr>
      <w:tr w:rsidR="00103060" w14:paraId="7D4FBB34" w14:textId="77777777" w:rsidTr="002C2C0A">
        <w:tc>
          <w:tcPr>
            <w:tcW w:w="2689" w:type="dxa"/>
            <w:vAlign w:val="center"/>
          </w:tcPr>
          <w:p w14:paraId="66ADE49D" w14:textId="7917F288" w:rsidR="00103060" w:rsidRPr="002D354A" w:rsidRDefault="00E012F7" w:rsidP="002C2C0A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t>Servizio di consegna e configurazione apparati NAC</w:t>
            </w:r>
          </w:p>
        </w:tc>
        <w:tc>
          <w:tcPr>
            <w:tcW w:w="6694" w:type="dxa"/>
            <w:vAlign w:val="center"/>
          </w:tcPr>
          <w:p w14:paraId="38284E47" w14:textId="5E3A95AD" w:rsidR="002C2C0A" w:rsidRPr="00EC4808" w:rsidRDefault="00E012F7" w:rsidP="000263FD">
            <w:pPr>
              <w:pStyle w:val="BodyText"/>
              <w:numPr>
                <w:ilvl w:val="0"/>
                <w:numId w:val="4"/>
              </w:numPr>
              <w:spacing w:before="87" w:line="259" w:lineRule="auto"/>
              <w:rPr>
                <w:i/>
                <w:iCs/>
              </w:rPr>
            </w:pPr>
            <w:r w:rsidRPr="00EC4808">
              <w:rPr>
                <w:rFonts w:asciiTheme="minorHAnsi" w:hAnsiTheme="minorHAnsi" w:cstheme="minorHAnsi"/>
                <w:i/>
                <w:iCs/>
              </w:rPr>
              <w:t>Tempo di consegna “Piano Operativo” progetto NAC</w:t>
            </w:r>
          </w:p>
        </w:tc>
      </w:tr>
      <w:tr w:rsidR="00103060" w14:paraId="1CBFBACC" w14:textId="08CF845B" w:rsidTr="002C2C0A">
        <w:tc>
          <w:tcPr>
            <w:tcW w:w="2689" w:type="dxa"/>
            <w:vAlign w:val="center"/>
          </w:tcPr>
          <w:p w14:paraId="34899256" w14:textId="386C8514" w:rsidR="00103060" w:rsidRDefault="00E012F7" w:rsidP="002C2C0A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Servizio di consegna e configurazione apparati NAC</w:t>
            </w:r>
          </w:p>
        </w:tc>
        <w:tc>
          <w:tcPr>
            <w:tcW w:w="6694" w:type="dxa"/>
            <w:vAlign w:val="center"/>
          </w:tcPr>
          <w:p w14:paraId="1C1554CD" w14:textId="632CED7C" w:rsidR="002C2C0A" w:rsidRPr="00EC4808" w:rsidRDefault="00E012F7" w:rsidP="000263FD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EC4808">
              <w:rPr>
                <w:rFonts w:asciiTheme="minorHAnsi" w:hAnsiTheme="minorHAnsi" w:cstheme="minorHAnsi"/>
                <w:i/>
                <w:iCs/>
              </w:rPr>
              <w:t>Tempo di consegna “Piano di Lavoro” progetto NAC</w:t>
            </w:r>
          </w:p>
        </w:tc>
      </w:tr>
      <w:tr w:rsidR="00761CB8" w14:paraId="6C6D5E10" w14:textId="77777777" w:rsidTr="002C2C0A">
        <w:tc>
          <w:tcPr>
            <w:tcW w:w="2689" w:type="dxa"/>
            <w:vAlign w:val="center"/>
          </w:tcPr>
          <w:p w14:paraId="3AD4FE06" w14:textId="35E8D072" w:rsidR="00761CB8" w:rsidRDefault="00311429" w:rsidP="002C2C0A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t>Protezione endpoint</w:t>
            </w:r>
          </w:p>
        </w:tc>
        <w:tc>
          <w:tcPr>
            <w:tcW w:w="6694" w:type="dxa"/>
            <w:vAlign w:val="center"/>
          </w:tcPr>
          <w:p w14:paraId="182206D8" w14:textId="72AC1D67" w:rsidR="00761CB8" w:rsidRDefault="00311429" w:rsidP="000263FD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2A2D36">
              <w:rPr>
                <w:i/>
                <w:iCs/>
              </w:rPr>
              <w:t xml:space="preserve">Tempestività </w:t>
            </w:r>
            <w:r w:rsidR="002330F2">
              <w:rPr>
                <w:i/>
                <w:iCs/>
              </w:rPr>
              <w:t>di consegna Licenze Trellix</w:t>
            </w:r>
            <w:r w:rsidR="00E426FB">
              <w:rPr>
                <w:i/>
                <w:iCs/>
              </w:rPr>
              <w:t xml:space="preserve"> </w:t>
            </w:r>
          </w:p>
        </w:tc>
      </w:tr>
      <w:tr w:rsidR="00761CB8" w14:paraId="1286F070" w14:textId="77777777" w:rsidTr="002C2C0A">
        <w:tc>
          <w:tcPr>
            <w:tcW w:w="2689" w:type="dxa"/>
            <w:vAlign w:val="center"/>
          </w:tcPr>
          <w:p w14:paraId="08907CD8" w14:textId="3F91712B" w:rsidR="00761CB8" w:rsidRDefault="00311429" w:rsidP="002C2C0A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t>Protezione endpoint</w:t>
            </w:r>
          </w:p>
        </w:tc>
        <w:tc>
          <w:tcPr>
            <w:tcW w:w="6694" w:type="dxa"/>
            <w:vAlign w:val="center"/>
          </w:tcPr>
          <w:p w14:paraId="2A12139B" w14:textId="0CEB6167" w:rsidR="00761CB8" w:rsidRDefault="00311429" w:rsidP="000263FD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2A2D36">
              <w:rPr>
                <w:i/>
                <w:iCs/>
              </w:rPr>
              <w:t>Tempestività d</w:t>
            </w:r>
            <w:r w:rsidR="002330F2">
              <w:rPr>
                <w:i/>
                <w:iCs/>
              </w:rPr>
              <w:t>i risposta alle richieste di supporto</w:t>
            </w:r>
            <w:r>
              <w:rPr>
                <w:i/>
                <w:iCs/>
              </w:rPr>
              <w:t xml:space="preserve"> (servizio di assistenza e manutenzione)</w:t>
            </w:r>
          </w:p>
        </w:tc>
      </w:tr>
      <w:tr w:rsidR="00761CB8" w14:paraId="0D76FF91" w14:textId="77777777" w:rsidTr="002C2C0A">
        <w:tc>
          <w:tcPr>
            <w:tcW w:w="2689" w:type="dxa"/>
            <w:vAlign w:val="center"/>
          </w:tcPr>
          <w:p w14:paraId="17B70659" w14:textId="75D13412" w:rsidR="00761CB8" w:rsidRDefault="002330F2" w:rsidP="002C2C0A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t>Protezione endpoint</w:t>
            </w:r>
          </w:p>
        </w:tc>
        <w:tc>
          <w:tcPr>
            <w:tcW w:w="6694" w:type="dxa"/>
            <w:vAlign w:val="center"/>
          </w:tcPr>
          <w:p w14:paraId="637B54F4" w14:textId="0DA5C240" w:rsidR="00761CB8" w:rsidRDefault="002330F2" w:rsidP="000263FD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t>Tempestività di conclusione dell’intervento di Servizio Specialistic</w:t>
            </w:r>
            <w:r w:rsidR="00E760E5">
              <w:rPr>
                <w:i/>
                <w:iCs/>
              </w:rPr>
              <w:t>o</w:t>
            </w:r>
            <w:r>
              <w:rPr>
                <w:i/>
                <w:iCs/>
              </w:rPr>
              <w:t xml:space="preserve"> Trellix</w:t>
            </w:r>
          </w:p>
        </w:tc>
      </w:tr>
      <w:tr w:rsidR="0070342E" w14:paraId="10D5921A" w14:textId="77777777" w:rsidTr="00617049">
        <w:trPr>
          <w:trHeight w:val="1277"/>
        </w:trPr>
        <w:tc>
          <w:tcPr>
            <w:tcW w:w="2689" w:type="dxa"/>
            <w:vAlign w:val="center"/>
          </w:tcPr>
          <w:p w14:paraId="365ECFA1" w14:textId="06B6EF5D" w:rsidR="0070342E" w:rsidRDefault="00617049" w:rsidP="002C2C0A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t>Servizio di consegna e configurazione apparati NAC</w:t>
            </w:r>
          </w:p>
        </w:tc>
        <w:tc>
          <w:tcPr>
            <w:tcW w:w="6694" w:type="dxa"/>
            <w:vAlign w:val="center"/>
          </w:tcPr>
          <w:p w14:paraId="6E501229" w14:textId="5C758A8D" w:rsidR="0070342E" w:rsidRDefault="00617049" w:rsidP="000263FD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t>Tempestività di conclusione dell’intervento nel contesto dell’erogazione della giornata di Servizio Specialistico NAC</w:t>
            </w:r>
          </w:p>
        </w:tc>
      </w:tr>
    </w:tbl>
    <w:p w14:paraId="174404E3" w14:textId="77777777" w:rsidR="00E84041" w:rsidRDefault="00E84041" w:rsidP="00E84041">
      <w:pPr>
        <w:pStyle w:val="BodyText"/>
        <w:spacing w:line="259" w:lineRule="auto"/>
        <w:rPr>
          <w:i/>
          <w:iCs/>
        </w:rPr>
      </w:pPr>
    </w:p>
    <w:p w14:paraId="17627375" w14:textId="48E1BE08" w:rsidR="00E84041" w:rsidRPr="00E84041" w:rsidRDefault="00E84041" w:rsidP="00E84041">
      <w:pPr>
        <w:pStyle w:val="BodyText"/>
        <w:spacing w:line="259" w:lineRule="auto"/>
        <w:rPr>
          <w:i/>
          <w:iCs/>
        </w:rPr>
      </w:pPr>
      <w:r w:rsidRPr="00E84041">
        <w:rPr>
          <w:i/>
          <w:iCs/>
        </w:rPr>
        <w:t>Per ulteriori dettagli fare riferimento alla tabella allegata.</w:t>
      </w:r>
    </w:p>
    <w:p w14:paraId="67E8AE04" w14:textId="4F48F5A7" w:rsidR="002261D8" w:rsidRDefault="00FF017F" w:rsidP="002261D8">
      <w:pPr>
        <w:pStyle w:val="BodyText"/>
        <w:spacing w:before="87" w:line="259" w:lineRule="auto"/>
        <w:jc w:val="both"/>
        <w:rPr>
          <w:i/>
          <w:iCs/>
        </w:rPr>
      </w:pPr>
      <w:r>
        <w:rPr>
          <w:i/>
          <w:iCs/>
        </w:rPr>
        <w:object w:dxaOrig="1539" w:dyaOrig="996" w14:anchorId="3D04F4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3" o:title=""/>
          </v:shape>
          <o:OLEObject Type="Embed" ProgID="Excel.Sheet.12" ShapeID="_x0000_i1025" DrawAspect="Icon" ObjectID="_1788099517" r:id="rId14"/>
        </w:object>
      </w:r>
    </w:p>
    <w:p w14:paraId="74F076D9" w14:textId="192D6A76" w:rsidR="00F754FA" w:rsidRPr="00703853" w:rsidRDefault="00F754FA" w:rsidP="007C77A0">
      <w:pPr>
        <w:pStyle w:val="ListParagraph"/>
        <w:tabs>
          <w:tab w:val="left" w:pos="916"/>
        </w:tabs>
        <w:spacing w:before="62" w:after="60"/>
        <w:ind w:left="915" w:firstLine="0"/>
        <w:jc w:val="both"/>
        <w:rPr>
          <w:rFonts w:ascii="Calibri" w:hAnsi="Calibri" w:cs="Calibri"/>
          <w:b/>
        </w:rPr>
      </w:pPr>
    </w:p>
    <w:p w14:paraId="0CAB3127" w14:textId="77777777" w:rsidR="00897775" w:rsidRPr="00703853" w:rsidRDefault="002F7EE0" w:rsidP="0049704C">
      <w:pPr>
        <w:pStyle w:val="Heading1"/>
        <w:spacing w:before="60"/>
        <w:jc w:val="both"/>
      </w:pPr>
      <w:bookmarkStart w:id="12" w:name="_Toc177486726"/>
      <w:r w:rsidRPr="00703853">
        <w:t>STORIA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1"/>
        </w:rPr>
        <w:t xml:space="preserve"> </w:t>
      </w:r>
      <w:r w:rsidRPr="00703853">
        <w:t>CONTRATTO</w:t>
      </w:r>
      <w:bookmarkEnd w:id="12"/>
    </w:p>
    <w:p w14:paraId="791446D4" w14:textId="639C75AD" w:rsidR="00062274" w:rsidRDefault="00E363D4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  <w:r w:rsidRPr="00E363D4">
        <w:rPr>
          <w:i/>
          <w:iCs/>
          <w:lang w:val="it-IT"/>
        </w:rPr>
        <w:t>Qu</w:t>
      </w:r>
      <w:r>
        <w:rPr>
          <w:i/>
          <w:iCs/>
          <w:lang w:val="it-IT"/>
        </w:rPr>
        <w:t>esta i</w:t>
      </w:r>
      <w:r w:rsidR="005C3279" w:rsidRPr="00087E49">
        <w:rPr>
          <w:i/>
          <w:iCs/>
          <w:lang w:val="it-IT"/>
        </w:rPr>
        <w:t>nformazione</w:t>
      </w:r>
      <w:r w:rsidR="009F71F9" w:rsidRPr="00087E49">
        <w:rPr>
          <w:i/>
          <w:iCs/>
          <w:lang w:val="it-IT"/>
        </w:rPr>
        <w:t xml:space="preserve"> sar</w:t>
      </w:r>
      <w:r w:rsidR="00BE1065" w:rsidRPr="00087E49">
        <w:rPr>
          <w:i/>
          <w:iCs/>
          <w:lang w:val="it-IT"/>
        </w:rPr>
        <w:t>à condivisa</w:t>
      </w:r>
      <w:r w:rsidR="009F71F9" w:rsidRPr="00087E49">
        <w:rPr>
          <w:i/>
          <w:iCs/>
          <w:lang w:val="it-IT"/>
        </w:rPr>
        <w:t xml:space="preserve"> nella </w:t>
      </w:r>
      <w:r>
        <w:rPr>
          <w:i/>
          <w:iCs/>
          <w:lang w:val="it-IT"/>
        </w:rPr>
        <w:t xml:space="preserve">prima </w:t>
      </w:r>
      <w:r w:rsidR="009F71F9" w:rsidRPr="00087E49">
        <w:rPr>
          <w:i/>
          <w:iCs/>
          <w:lang w:val="it-IT"/>
        </w:rPr>
        <w:t xml:space="preserve">nota </w:t>
      </w:r>
      <w:r>
        <w:rPr>
          <w:i/>
          <w:iCs/>
          <w:lang w:val="it-IT"/>
        </w:rPr>
        <w:t>utile dopo la conclusione del contratt</w:t>
      </w:r>
      <w:r w:rsidR="00A86EC4">
        <w:rPr>
          <w:i/>
          <w:iCs/>
          <w:lang w:val="it-IT"/>
        </w:rPr>
        <w:t>o.</w:t>
      </w:r>
    </w:p>
    <w:p w14:paraId="045B5733" w14:textId="77777777" w:rsidR="0049704C" w:rsidRPr="00087E49" w:rsidRDefault="0049704C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</w:p>
    <w:p w14:paraId="6DFDFBDA" w14:textId="5059C9D8" w:rsidR="00EC428C" w:rsidRPr="001F73A0" w:rsidRDefault="002F7EE0" w:rsidP="0049704C">
      <w:pPr>
        <w:pStyle w:val="Heading1"/>
        <w:spacing w:before="60"/>
        <w:jc w:val="both"/>
      </w:pPr>
      <w:bookmarkStart w:id="13" w:name="_Toc177486727"/>
      <w:r w:rsidRPr="00703853">
        <w:t>RISULTATI</w:t>
      </w:r>
      <w:r w:rsidRPr="00703853">
        <w:rPr>
          <w:spacing w:val="-4"/>
        </w:rPr>
        <w:t xml:space="preserve"> </w:t>
      </w:r>
      <w:r w:rsidRPr="00703853">
        <w:t>OTTENUTI</w:t>
      </w:r>
      <w:bookmarkEnd w:id="13"/>
    </w:p>
    <w:p w14:paraId="7F3455C8" w14:textId="16999926" w:rsidR="0049704C" w:rsidRDefault="00BE1065" w:rsidP="0049704C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t>Queste informazioni</w:t>
      </w:r>
      <w:r w:rsidR="009F71F9" w:rsidRPr="00087E49">
        <w:rPr>
          <w:i/>
          <w:iCs/>
        </w:rPr>
        <w:t xml:space="preserve"> saranno </w:t>
      </w:r>
      <w:r w:rsidRPr="00087E49">
        <w:rPr>
          <w:i/>
          <w:iCs/>
        </w:rPr>
        <w:t>condivise</w:t>
      </w:r>
      <w:r w:rsidR="009F71F9" w:rsidRPr="00087E49">
        <w:rPr>
          <w:i/>
          <w:iCs/>
        </w:rPr>
        <w:t xml:space="preserve"> nella prima nota utile dopo </w:t>
      </w:r>
      <w:r w:rsidR="00E363D4">
        <w:rPr>
          <w:i/>
          <w:iCs/>
        </w:rPr>
        <w:t xml:space="preserve">la </w:t>
      </w:r>
      <w:r w:rsidR="009F71F9" w:rsidRPr="00087E49">
        <w:rPr>
          <w:i/>
          <w:iCs/>
        </w:rPr>
        <w:t>conclusione contratto</w:t>
      </w:r>
      <w:r w:rsidR="00531404">
        <w:rPr>
          <w:i/>
          <w:iCs/>
        </w:rPr>
        <w:t>.</w:t>
      </w:r>
    </w:p>
    <w:p w14:paraId="1D9517A8" w14:textId="77777777" w:rsidR="00405748" w:rsidRPr="00BF5F57" w:rsidRDefault="00405748" w:rsidP="0049704C">
      <w:pPr>
        <w:pStyle w:val="BodyText"/>
        <w:spacing w:before="60"/>
        <w:jc w:val="both"/>
        <w:rPr>
          <w:i/>
          <w:iCs/>
        </w:rPr>
      </w:pPr>
    </w:p>
    <w:p w14:paraId="10064360" w14:textId="77777777" w:rsidR="00897775" w:rsidRPr="00703853" w:rsidRDefault="002F7EE0" w:rsidP="0049704C">
      <w:pPr>
        <w:pStyle w:val="Heading1"/>
        <w:spacing w:before="60"/>
        <w:jc w:val="both"/>
      </w:pPr>
      <w:bookmarkStart w:id="14" w:name="_Toc177486728"/>
      <w:r w:rsidRPr="00703853">
        <w:t>LEZIONI</w:t>
      </w:r>
      <w:r w:rsidRPr="00703853">
        <w:rPr>
          <w:spacing w:val="-5"/>
        </w:rPr>
        <w:t xml:space="preserve"> </w:t>
      </w:r>
      <w:r w:rsidRPr="00703853">
        <w:t>APPRESE</w:t>
      </w:r>
      <w:r w:rsidRPr="00703853">
        <w:rPr>
          <w:spacing w:val="-4"/>
        </w:rPr>
        <w:t xml:space="preserve"> </w:t>
      </w:r>
      <w:r w:rsidRPr="00703853">
        <w:t>ED</w:t>
      </w:r>
      <w:r w:rsidRPr="00703853">
        <w:rPr>
          <w:spacing w:val="-2"/>
        </w:rPr>
        <w:t xml:space="preserve"> </w:t>
      </w:r>
      <w:r w:rsidRPr="00703853">
        <w:t>INIZIATIVE</w:t>
      </w:r>
      <w:r w:rsidRPr="00703853">
        <w:rPr>
          <w:spacing w:val="-4"/>
        </w:rPr>
        <w:t xml:space="preserve"> </w:t>
      </w:r>
      <w:r w:rsidRPr="00703853">
        <w:t>FUTURE</w:t>
      </w:r>
      <w:bookmarkEnd w:id="14"/>
    </w:p>
    <w:p w14:paraId="64B2212C" w14:textId="40BDE9B8" w:rsidR="009F71F9" w:rsidRDefault="009F71F9" w:rsidP="0049704C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t xml:space="preserve">Le evidenze saranno inviate nella prima nota utile dopo </w:t>
      </w:r>
      <w:r w:rsidR="00E363D4">
        <w:rPr>
          <w:i/>
          <w:iCs/>
        </w:rPr>
        <w:t xml:space="preserve">la </w:t>
      </w:r>
      <w:r w:rsidRPr="00087E49">
        <w:rPr>
          <w:i/>
          <w:iCs/>
        </w:rPr>
        <w:t>conclusione contratto</w:t>
      </w:r>
      <w:r w:rsidR="00646DB8">
        <w:rPr>
          <w:i/>
          <w:iCs/>
        </w:rPr>
        <w:t>.</w:t>
      </w:r>
    </w:p>
    <w:p w14:paraId="29D92FE8" w14:textId="20DD2343" w:rsidR="00897775" w:rsidRPr="00C26245" w:rsidRDefault="00897775" w:rsidP="005906E3">
      <w:pPr>
        <w:pStyle w:val="BodyText"/>
        <w:spacing w:before="125" w:line="259" w:lineRule="auto"/>
        <w:jc w:val="both"/>
        <w:rPr>
          <w:i/>
          <w:iCs/>
        </w:rPr>
      </w:pPr>
    </w:p>
    <w:sectPr w:rsidR="00897775" w:rsidRPr="00C26245" w:rsidSect="00232B9C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974F5" w14:textId="77777777" w:rsidR="00B911D2" w:rsidRDefault="00B911D2">
      <w:r>
        <w:separator/>
      </w:r>
    </w:p>
  </w:endnote>
  <w:endnote w:type="continuationSeparator" w:id="0">
    <w:p w14:paraId="4881590E" w14:textId="77777777" w:rsidR="00B911D2" w:rsidRDefault="00B911D2">
      <w:r>
        <w:continuationSeparator/>
      </w:r>
    </w:p>
  </w:endnote>
  <w:endnote w:type="continuationNotice" w:id="1">
    <w:p w14:paraId="7B359C1C" w14:textId="77777777" w:rsidR="00B911D2" w:rsidRDefault="00B911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059" w14:textId="608959E5" w:rsidR="00897775" w:rsidRDefault="00897775">
    <w:pPr>
      <w:pStyle w:val="BodyText"/>
      <w:spacing w:line="14" w:lineRule="auto"/>
      <w:rPr>
        <w:sz w:val="20"/>
      </w:rPr>
    </w:pPr>
  </w:p>
  <w:p w14:paraId="300482E9" w14:textId="77777777" w:rsidR="001D664A" w:rsidRDefault="001D664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744DF" w14:textId="77777777" w:rsidR="00B911D2" w:rsidRDefault="00B911D2">
      <w:r>
        <w:separator/>
      </w:r>
    </w:p>
  </w:footnote>
  <w:footnote w:type="continuationSeparator" w:id="0">
    <w:p w14:paraId="4916A99E" w14:textId="77777777" w:rsidR="00B911D2" w:rsidRDefault="00B911D2">
      <w:r>
        <w:continuationSeparator/>
      </w:r>
    </w:p>
  </w:footnote>
  <w:footnote w:type="continuationNotice" w:id="1">
    <w:p w14:paraId="15E6B4F7" w14:textId="77777777" w:rsidR="00B911D2" w:rsidRDefault="00B911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530E4"/>
    <w:multiLevelType w:val="hybridMultilevel"/>
    <w:tmpl w:val="8492491C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E2676"/>
    <w:multiLevelType w:val="hybridMultilevel"/>
    <w:tmpl w:val="E746EB18"/>
    <w:lvl w:ilvl="0" w:tplc="EF5E8E2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F4896"/>
    <w:multiLevelType w:val="hybridMultilevel"/>
    <w:tmpl w:val="435EC7EC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E97EC8"/>
    <w:multiLevelType w:val="hybridMultilevel"/>
    <w:tmpl w:val="903835F4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B00A0"/>
    <w:multiLevelType w:val="hybridMultilevel"/>
    <w:tmpl w:val="0E10E6F8"/>
    <w:lvl w:ilvl="0" w:tplc="95F8E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9A2B0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045133757">
    <w:abstractNumId w:val="8"/>
  </w:num>
  <w:num w:numId="2" w16cid:durableId="17252523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9690983">
    <w:abstractNumId w:val="7"/>
  </w:num>
  <w:num w:numId="4" w16cid:durableId="991904161">
    <w:abstractNumId w:val="4"/>
  </w:num>
  <w:num w:numId="5" w16cid:durableId="1781558885">
    <w:abstractNumId w:val="3"/>
  </w:num>
  <w:num w:numId="6" w16cid:durableId="1801458956">
    <w:abstractNumId w:val="2"/>
  </w:num>
  <w:num w:numId="7" w16cid:durableId="986973452">
    <w:abstractNumId w:val="6"/>
  </w:num>
  <w:num w:numId="8" w16cid:durableId="1638559924">
    <w:abstractNumId w:val="5"/>
  </w:num>
  <w:num w:numId="9" w16cid:durableId="168373398">
    <w:abstractNumId w:val="8"/>
  </w:num>
  <w:num w:numId="10" w16cid:durableId="1064328926">
    <w:abstractNumId w:val="0"/>
  </w:num>
  <w:num w:numId="11" w16cid:durableId="86163029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7AFA"/>
    <w:rsid w:val="0002627C"/>
    <w:rsid w:val="000263FD"/>
    <w:rsid w:val="000268CC"/>
    <w:rsid w:val="0003693B"/>
    <w:rsid w:val="00043DBF"/>
    <w:rsid w:val="00044919"/>
    <w:rsid w:val="000452E9"/>
    <w:rsid w:val="00055FCF"/>
    <w:rsid w:val="00062274"/>
    <w:rsid w:val="000624DA"/>
    <w:rsid w:val="00063E60"/>
    <w:rsid w:val="0006560D"/>
    <w:rsid w:val="00067272"/>
    <w:rsid w:val="00073B72"/>
    <w:rsid w:val="000761AA"/>
    <w:rsid w:val="0007639A"/>
    <w:rsid w:val="00080207"/>
    <w:rsid w:val="000803F4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D6DE7"/>
    <w:rsid w:val="000F2BE7"/>
    <w:rsid w:val="000F348D"/>
    <w:rsid w:val="000F44A5"/>
    <w:rsid w:val="000F53E8"/>
    <w:rsid w:val="000F6B5D"/>
    <w:rsid w:val="00102D11"/>
    <w:rsid w:val="00103060"/>
    <w:rsid w:val="0010490D"/>
    <w:rsid w:val="00104A92"/>
    <w:rsid w:val="001113B6"/>
    <w:rsid w:val="001245BE"/>
    <w:rsid w:val="00151DD9"/>
    <w:rsid w:val="00152AC0"/>
    <w:rsid w:val="00153EAC"/>
    <w:rsid w:val="001563A1"/>
    <w:rsid w:val="001603F6"/>
    <w:rsid w:val="001647B1"/>
    <w:rsid w:val="00165D41"/>
    <w:rsid w:val="00167C77"/>
    <w:rsid w:val="001732E2"/>
    <w:rsid w:val="00176C15"/>
    <w:rsid w:val="0018132D"/>
    <w:rsid w:val="001849CB"/>
    <w:rsid w:val="00185EA4"/>
    <w:rsid w:val="0019427F"/>
    <w:rsid w:val="00197B50"/>
    <w:rsid w:val="001A4495"/>
    <w:rsid w:val="001B1336"/>
    <w:rsid w:val="001B20C1"/>
    <w:rsid w:val="001B46AE"/>
    <w:rsid w:val="001C3FE7"/>
    <w:rsid w:val="001D664A"/>
    <w:rsid w:val="001D6EF1"/>
    <w:rsid w:val="001E0DD9"/>
    <w:rsid w:val="001E5E77"/>
    <w:rsid w:val="001F73A0"/>
    <w:rsid w:val="00201099"/>
    <w:rsid w:val="00205501"/>
    <w:rsid w:val="00214C3D"/>
    <w:rsid w:val="00217375"/>
    <w:rsid w:val="002178B4"/>
    <w:rsid w:val="00221707"/>
    <w:rsid w:val="00222769"/>
    <w:rsid w:val="002261D8"/>
    <w:rsid w:val="00231339"/>
    <w:rsid w:val="00232B9C"/>
    <w:rsid w:val="002330F2"/>
    <w:rsid w:val="002333FF"/>
    <w:rsid w:val="00244D42"/>
    <w:rsid w:val="00256FB5"/>
    <w:rsid w:val="002644FD"/>
    <w:rsid w:val="00267886"/>
    <w:rsid w:val="002733F5"/>
    <w:rsid w:val="00276C30"/>
    <w:rsid w:val="002801AC"/>
    <w:rsid w:val="0028041C"/>
    <w:rsid w:val="00282993"/>
    <w:rsid w:val="00285E3A"/>
    <w:rsid w:val="0029222D"/>
    <w:rsid w:val="00292537"/>
    <w:rsid w:val="00292B4E"/>
    <w:rsid w:val="00292D2D"/>
    <w:rsid w:val="002938AA"/>
    <w:rsid w:val="00294DF7"/>
    <w:rsid w:val="0029530E"/>
    <w:rsid w:val="002A0B70"/>
    <w:rsid w:val="002A1295"/>
    <w:rsid w:val="002A2D36"/>
    <w:rsid w:val="002A4F38"/>
    <w:rsid w:val="002A6A1D"/>
    <w:rsid w:val="002A7761"/>
    <w:rsid w:val="002B1E76"/>
    <w:rsid w:val="002B270F"/>
    <w:rsid w:val="002B48F6"/>
    <w:rsid w:val="002C1938"/>
    <w:rsid w:val="002C2C0A"/>
    <w:rsid w:val="002C58D6"/>
    <w:rsid w:val="002C67C6"/>
    <w:rsid w:val="002D021F"/>
    <w:rsid w:val="002D354A"/>
    <w:rsid w:val="002D35A4"/>
    <w:rsid w:val="002D3881"/>
    <w:rsid w:val="002E6D77"/>
    <w:rsid w:val="002F0792"/>
    <w:rsid w:val="002F1777"/>
    <w:rsid w:val="002F3F51"/>
    <w:rsid w:val="002F4D52"/>
    <w:rsid w:val="002F7EE0"/>
    <w:rsid w:val="003071D0"/>
    <w:rsid w:val="00307C0B"/>
    <w:rsid w:val="00307E58"/>
    <w:rsid w:val="00311429"/>
    <w:rsid w:val="003135E2"/>
    <w:rsid w:val="003138D4"/>
    <w:rsid w:val="0031471E"/>
    <w:rsid w:val="00323368"/>
    <w:rsid w:val="00327E3E"/>
    <w:rsid w:val="003329D9"/>
    <w:rsid w:val="00335557"/>
    <w:rsid w:val="00337EF4"/>
    <w:rsid w:val="003407D9"/>
    <w:rsid w:val="00345742"/>
    <w:rsid w:val="00365737"/>
    <w:rsid w:val="003757EA"/>
    <w:rsid w:val="003773CB"/>
    <w:rsid w:val="0038536D"/>
    <w:rsid w:val="00390C86"/>
    <w:rsid w:val="00390E3F"/>
    <w:rsid w:val="003B5F85"/>
    <w:rsid w:val="003B6413"/>
    <w:rsid w:val="003C3D06"/>
    <w:rsid w:val="003C529E"/>
    <w:rsid w:val="003C6C23"/>
    <w:rsid w:val="003D074B"/>
    <w:rsid w:val="003D3248"/>
    <w:rsid w:val="003D5484"/>
    <w:rsid w:val="003E08F2"/>
    <w:rsid w:val="003E225B"/>
    <w:rsid w:val="003E2F1D"/>
    <w:rsid w:val="003F7014"/>
    <w:rsid w:val="00400041"/>
    <w:rsid w:val="00401019"/>
    <w:rsid w:val="00403D9D"/>
    <w:rsid w:val="00405748"/>
    <w:rsid w:val="00405C6F"/>
    <w:rsid w:val="00412B5B"/>
    <w:rsid w:val="00413B0E"/>
    <w:rsid w:val="00437166"/>
    <w:rsid w:val="0045056D"/>
    <w:rsid w:val="00454C0E"/>
    <w:rsid w:val="00456F13"/>
    <w:rsid w:val="00460A82"/>
    <w:rsid w:val="00465E3B"/>
    <w:rsid w:val="004741BA"/>
    <w:rsid w:val="004852E2"/>
    <w:rsid w:val="004910B6"/>
    <w:rsid w:val="0049704C"/>
    <w:rsid w:val="004A39AD"/>
    <w:rsid w:val="004A464B"/>
    <w:rsid w:val="004B2320"/>
    <w:rsid w:val="004E5841"/>
    <w:rsid w:val="004F7DA5"/>
    <w:rsid w:val="005035AF"/>
    <w:rsid w:val="005175C0"/>
    <w:rsid w:val="005301F2"/>
    <w:rsid w:val="00531404"/>
    <w:rsid w:val="00531F11"/>
    <w:rsid w:val="00562D9C"/>
    <w:rsid w:val="005659DC"/>
    <w:rsid w:val="00566A4C"/>
    <w:rsid w:val="00566AB9"/>
    <w:rsid w:val="00572ABE"/>
    <w:rsid w:val="00581F86"/>
    <w:rsid w:val="005851EE"/>
    <w:rsid w:val="00585A57"/>
    <w:rsid w:val="0058732D"/>
    <w:rsid w:val="005878CA"/>
    <w:rsid w:val="005906E3"/>
    <w:rsid w:val="00593B70"/>
    <w:rsid w:val="00594801"/>
    <w:rsid w:val="005976B3"/>
    <w:rsid w:val="00597ED7"/>
    <w:rsid w:val="005A03D9"/>
    <w:rsid w:val="005A7C81"/>
    <w:rsid w:val="005B613A"/>
    <w:rsid w:val="005C3279"/>
    <w:rsid w:val="005C40FA"/>
    <w:rsid w:val="005C4C12"/>
    <w:rsid w:val="005C77BB"/>
    <w:rsid w:val="005D5383"/>
    <w:rsid w:val="005F3016"/>
    <w:rsid w:val="005F406E"/>
    <w:rsid w:val="005F5034"/>
    <w:rsid w:val="005F54BE"/>
    <w:rsid w:val="00604863"/>
    <w:rsid w:val="00617049"/>
    <w:rsid w:val="00625714"/>
    <w:rsid w:val="00626106"/>
    <w:rsid w:val="00632AEE"/>
    <w:rsid w:val="00642270"/>
    <w:rsid w:val="0064551B"/>
    <w:rsid w:val="00646DB8"/>
    <w:rsid w:val="006529C4"/>
    <w:rsid w:val="00654913"/>
    <w:rsid w:val="00661EF0"/>
    <w:rsid w:val="00671D90"/>
    <w:rsid w:val="00674297"/>
    <w:rsid w:val="00682DD3"/>
    <w:rsid w:val="00685DC5"/>
    <w:rsid w:val="00687E23"/>
    <w:rsid w:val="006A437B"/>
    <w:rsid w:val="006A7347"/>
    <w:rsid w:val="006C0406"/>
    <w:rsid w:val="006C22E9"/>
    <w:rsid w:val="006C33CB"/>
    <w:rsid w:val="006C67C2"/>
    <w:rsid w:val="006D5B66"/>
    <w:rsid w:val="006D64E9"/>
    <w:rsid w:val="006D6A53"/>
    <w:rsid w:val="006E1D9C"/>
    <w:rsid w:val="0070342E"/>
    <w:rsid w:val="00703581"/>
    <w:rsid w:val="00703853"/>
    <w:rsid w:val="007129A9"/>
    <w:rsid w:val="00713223"/>
    <w:rsid w:val="00716008"/>
    <w:rsid w:val="00716938"/>
    <w:rsid w:val="00716A3E"/>
    <w:rsid w:val="00720C7B"/>
    <w:rsid w:val="00720F1A"/>
    <w:rsid w:val="00735C36"/>
    <w:rsid w:val="00740744"/>
    <w:rsid w:val="00746D8B"/>
    <w:rsid w:val="00753F3F"/>
    <w:rsid w:val="007572B7"/>
    <w:rsid w:val="007601DC"/>
    <w:rsid w:val="00761CB8"/>
    <w:rsid w:val="00767A8C"/>
    <w:rsid w:val="00781838"/>
    <w:rsid w:val="007849A2"/>
    <w:rsid w:val="007929B2"/>
    <w:rsid w:val="007A25D7"/>
    <w:rsid w:val="007B103B"/>
    <w:rsid w:val="007B3DE0"/>
    <w:rsid w:val="007C059E"/>
    <w:rsid w:val="007C63A9"/>
    <w:rsid w:val="007C77A0"/>
    <w:rsid w:val="007D083A"/>
    <w:rsid w:val="007D4AAD"/>
    <w:rsid w:val="007D64BD"/>
    <w:rsid w:val="007D7367"/>
    <w:rsid w:val="007F1F7F"/>
    <w:rsid w:val="007F24F9"/>
    <w:rsid w:val="007F507B"/>
    <w:rsid w:val="007F5E8D"/>
    <w:rsid w:val="00804A7C"/>
    <w:rsid w:val="0081797E"/>
    <w:rsid w:val="00821833"/>
    <w:rsid w:val="008369C3"/>
    <w:rsid w:val="00840253"/>
    <w:rsid w:val="008438A9"/>
    <w:rsid w:val="00845ADB"/>
    <w:rsid w:val="00856D81"/>
    <w:rsid w:val="0086174D"/>
    <w:rsid w:val="008716A7"/>
    <w:rsid w:val="008842C3"/>
    <w:rsid w:val="00886FC2"/>
    <w:rsid w:val="0088794C"/>
    <w:rsid w:val="00887A3B"/>
    <w:rsid w:val="00891AA7"/>
    <w:rsid w:val="00897775"/>
    <w:rsid w:val="008A1934"/>
    <w:rsid w:val="008A47AD"/>
    <w:rsid w:val="008B7023"/>
    <w:rsid w:val="008C0069"/>
    <w:rsid w:val="008C1790"/>
    <w:rsid w:val="008D5D49"/>
    <w:rsid w:val="008E51FD"/>
    <w:rsid w:val="008E75F9"/>
    <w:rsid w:val="008F2F0C"/>
    <w:rsid w:val="0091293F"/>
    <w:rsid w:val="009236C0"/>
    <w:rsid w:val="009276E6"/>
    <w:rsid w:val="00930B6A"/>
    <w:rsid w:val="00945444"/>
    <w:rsid w:val="00945614"/>
    <w:rsid w:val="00953C2B"/>
    <w:rsid w:val="009572D8"/>
    <w:rsid w:val="0096389B"/>
    <w:rsid w:val="009660E9"/>
    <w:rsid w:val="0096672C"/>
    <w:rsid w:val="00966A90"/>
    <w:rsid w:val="00974C8E"/>
    <w:rsid w:val="00975A3F"/>
    <w:rsid w:val="00994ABE"/>
    <w:rsid w:val="009A5E97"/>
    <w:rsid w:val="009A74FA"/>
    <w:rsid w:val="009B1956"/>
    <w:rsid w:val="009B28DD"/>
    <w:rsid w:val="009B3E39"/>
    <w:rsid w:val="009B547D"/>
    <w:rsid w:val="009C3BCE"/>
    <w:rsid w:val="009C6138"/>
    <w:rsid w:val="009D7770"/>
    <w:rsid w:val="009E05E1"/>
    <w:rsid w:val="009E21DC"/>
    <w:rsid w:val="009F26C3"/>
    <w:rsid w:val="009F71F9"/>
    <w:rsid w:val="00A035A2"/>
    <w:rsid w:val="00A03BA5"/>
    <w:rsid w:val="00A12C1C"/>
    <w:rsid w:val="00A231D0"/>
    <w:rsid w:val="00A23C29"/>
    <w:rsid w:val="00A253E1"/>
    <w:rsid w:val="00A3239C"/>
    <w:rsid w:val="00A42F98"/>
    <w:rsid w:val="00A5475A"/>
    <w:rsid w:val="00A55EE3"/>
    <w:rsid w:val="00A631E2"/>
    <w:rsid w:val="00A6759F"/>
    <w:rsid w:val="00A806D1"/>
    <w:rsid w:val="00A82BFA"/>
    <w:rsid w:val="00A82EFB"/>
    <w:rsid w:val="00A86EC4"/>
    <w:rsid w:val="00A936B8"/>
    <w:rsid w:val="00AA2CD3"/>
    <w:rsid w:val="00AA5716"/>
    <w:rsid w:val="00AB3D00"/>
    <w:rsid w:val="00AB6DB3"/>
    <w:rsid w:val="00AD1CDD"/>
    <w:rsid w:val="00AD3AEC"/>
    <w:rsid w:val="00AD3ECA"/>
    <w:rsid w:val="00AD44BE"/>
    <w:rsid w:val="00AD79D5"/>
    <w:rsid w:val="00AF50A2"/>
    <w:rsid w:val="00AF5F72"/>
    <w:rsid w:val="00AF7339"/>
    <w:rsid w:val="00B22C57"/>
    <w:rsid w:val="00B23830"/>
    <w:rsid w:val="00B25A04"/>
    <w:rsid w:val="00B32202"/>
    <w:rsid w:val="00B506AD"/>
    <w:rsid w:val="00B51EE3"/>
    <w:rsid w:val="00B525B1"/>
    <w:rsid w:val="00B5555E"/>
    <w:rsid w:val="00B56ACB"/>
    <w:rsid w:val="00B61EF1"/>
    <w:rsid w:val="00B655ED"/>
    <w:rsid w:val="00B72D59"/>
    <w:rsid w:val="00B83DF6"/>
    <w:rsid w:val="00B911D2"/>
    <w:rsid w:val="00B9199C"/>
    <w:rsid w:val="00BA26D8"/>
    <w:rsid w:val="00BA39A9"/>
    <w:rsid w:val="00BA7B2E"/>
    <w:rsid w:val="00BB0A13"/>
    <w:rsid w:val="00BC2B05"/>
    <w:rsid w:val="00BC2E86"/>
    <w:rsid w:val="00BC3BC1"/>
    <w:rsid w:val="00BD2AC1"/>
    <w:rsid w:val="00BD35B8"/>
    <w:rsid w:val="00BE1065"/>
    <w:rsid w:val="00BE1954"/>
    <w:rsid w:val="00BE2028"/>
    <w:rsid w:val="00BE3D87"/>
    <w:rsid w:val="00BE7304"/>
    <w:rsid w:val="00BF5515"/>
    <w:rsid w:val="00BF5F57"/>
    <w:rsid w:val="00C02066"/>
    <w:rsid w:val="00C056FC"/>
    <w:rsid w:val="00C1408E"/>
    <w:rsid w:val="00C16793"/>
    <w:rsid w:val="00C17C7D"/>
    <w:rsid w:val="00C26245"/>
    <w:rsid w:val="00C26381"/>
    <w:rsid w:val="00C300C4"/>
    <w:rsid w:val="00C365EB"/>
    <w:rsid w:val="00C41D46"/>
    <w:rsid w:val="00C466EA"/>
    <w:rsid w:val="00C565DC"/>
    <w:rsid w:val="00C6451F"/>
    <w:rsid w:val="00C65301"/>
    <w:rsid w:val="00C70F89"/>
    <w:rsid w:val="00C7272A"/>
    <w:rsid w:val="00C72D5E"/>
    <w:rsid w:val="00C72FAF"/>
    <w:rsid w:val="00C754F5"/>
    <w:rsid w:val="00C83672"/>
    <w:rsid w:val="00C903BA"/>
    <w:rsid w:val="00C909E5"/>
    <w:rsid w:val="00C924F3"/>
    <w:rsid w:val="00CD0A65"/>
    <w:rsid w:val="00CD2EB6"/>
    <w:rsid w:val="00CD55C7"/>
    <w:rsid w:val="00CD6488"/>
    <w:rsid w:val="00CE17E0"/>
    <w:rsid w:val="00CE3CA5"/>
    <w:rsid w:val="00CF0B20"/>
    <w:rsid w:val="00CF3669"/>
    <w:rsid w:val="00D05DC9"/>
    <w:rsid w:val="00D0757B"/>
    <w:rsid w:val="00D07ABF"/>
    <w:rsid w:val="00D13F37"/>
    <w:rsid w:val="00D166C9"/>
    <w:rsid w:val="00D23848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B05D9"/>
    <w:rsid w:val="00DB3934"/>
    <w:rsid w:val="00DC0576"/>
    <w:rsid w:val="00DC4B94"/>
    <w:rsid w:val="00DC532C"/>
    <w:rsid w:val="00DD1F98"/>
    <w:rsid w:val="00DE7DDD"/>
    <w:rsid w:val="00DF6C40"/>
    <w:rsid w:val="00E00778"/>
    <w:rsid w:val="00E012F7"/>
    <w:rsid w:val="00E03E1F"/>
    <w:rsid w:val="00E053B4"/>
    <w:rsid w:val="00E05FD1"/>
    <w:rsid w:val="00E078D0"/>
    <w:rsid w:val="00E07AD7"/>
    <w:rsid w:val="00E12063"/>
    <w:rsid w:val="00E1433D"/>
    <w:rsid w:val="00E15591"/>
    <w:rsid w:val="00E16405"/>
    <w:rsid w:val="00E21809"/>
    <w:rsid w:val="00E251AF"/>
    <w:rsid w:val="00E27404"/>
    <w:rsid w:val="00E27F17"/>
    <w:rsid w:val="00E3053D"/>
    <w:rsid w:val="00E363D4"/>
    <w:rsid w:val="00E426FB"/>
    <w:rsid w:val="00E42F9C"/>
    <w:rsid w:val="00E442F0"/>
    <w:rsid w:val="00E44312"/>
    <w:rsid w:val="00E44898"/>
    <w:rsid w:val="00E52BC0"/>
    <w:rsid w:val="00E61106"/>
    <w:rsid w:val="00E7206B"/>
    <w:rsid w:val="00E727E8"/>
    <w:rsid w:val="00E74866"/>
    <w:rsid w:val="00E760E5"/>
    <w:rsid w:val="00E84041"/>
    <w:rsid w:val="00E948FE"/>
    <w:rsid w:val="00E9627E"/>
    <w:rsid w:val="00EA56FA"/>
    <w:rsid w:val="00EB553A"/>
    <w:rsid w:val="00EC428C"/>
    <w:rsid w:val="00EC4808"/>
    <w:rsid w:val="00EC7336"/>
    <w:rsid w:val="00ED66DC"/>
    <w:rsid w:val="00EE006E"/>
    <w:rsid w:val="00EE57FD"/>
    <w:rsid w:val="00EF14C1"/>
    <w:rsid w:val="00F00516"/>
    <w:rsid w:val="00F041B2"/>
    <w:rsid w:val="00F04BDB"/>
    <w:rsid w:val="00F04F9F"/>
    <w:rsid w:val="00F0592A"/>
    <w:rsid w:val="00F113D6"/>
    <w:rsid w:val="00F11E6F"/>
    <w:rsid w:val="00F168F4"/>
    <w:rsid w:val="00F203A1"/>
    <w:rsid w:val="00F2092F"/>
    <w:rsid w:val="00F2154D"/>
    <w:rsid w:val="00F24B64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0BB5"/>
    <w:rsid w:val="00F83D66"/>
    <w:rsid w:val="00F91F99"/>
    <w:rsid w:val="00F94988"/>
    <w:rsid w:val="00F96A28"/>
    <w:rsid w:val="00FA187F"/>
    <w:rsid w:val="00FA25AE"/>
    <w:rsid w:val="00FA437B"/>
    <w:rsid w:val="00FA4C56"/>
    <w:rsid w:val="00FA5B2C"/>
    <w:rsid w:val="00FA6300"/>
    <w:rsid w:val="00FB04BF"/>
    <w:rsid w:val="00FB1962"/>
    <w:rsid w:val="00FC0477"/>
    <w:rsid w:val="00FC46A7"/>
    <w:rsid w:val="00FC7D23"/>
    <w:rsid w:val="00FD13EA"/>
    <w:rsid w:val="00FD4C34"/>
    <w:rsid w:val="00FE4683"/>
    <w:rsid w:val="00FE5C44"/>
    <w:rsid w:val="00FF017F"/>
    <w:rsid w:val="00FF0BDF"/>
    <w:rsid w:val="00FF707D"/>
    <w:rsid w:val="07EEF245"/>
    <w:rsid w:val="1B57C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46298"/>
  <w15:docId w15:val="{0E204828-429B-4E52-94D5-4AB6445C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DE0"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C26245"/>
    <w:pPr>
      <w:numPr>
        <w:ilvl w:val="1"/>
        <w:numId w:val="1"/>
      </w:numPr>
      <w:ind w:left="862" w:hanging="578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67886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97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938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938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38A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DefaultParagraphFont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37C1F"/>
  </w:style>
  <w:style w:type="table" w:styleId="TableGrid">
    <w:name w:val="Table Grid"/>
    <w:basedOn w:val="TableNormal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OC3">
    <w:name w:val="toc 3"/>
    <w:basedOn w:val="Normal"/>
    <w:next w:val="Normal"/>
    <w:autoRedefine/>
    <w:uiPriority w:val="39"/>
    <w:unhideWhenUsed/>
    <w:rsid w:val="00A253E1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Web">
    <w:name w:val="Normal (Web)"/>
    <w:basedOn w:val="Normal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DefaultParagraphFont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B39B36-7E96-414D-8344-2628D25E10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C0F513-051D-4C14-A897-B2109AAB2B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8BBAF5-1006-4868-A4D1-6BC551977705}"/>
</file>

<file path=customXml/itemProps4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Daniele Gattuso</cp:lastModifiedBy>
  <cp:revision>6</cp:revision>
  <dcterms:created xsi:type="dcterms:W3CDTF">2022-09-22T07:10:00Z</dcterms:created>
  <dcterms:modified xsi:type="dcterms:W3CDTF">2024-09-17T15:32:00Z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